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F27F1" w14:textId="473B7DEF" w:rsidR="00F2721A" w:rsidRDefault="00161B3B" w:rsidP="00E3586F">
      <w:pPr>
        <w:pStyle w:val="Title"/>
      </w:pPr>
      <w:bookmarkStart w:id="0" w:name="_GoBack"/>
      <w:bookmarkEnd w:id="0"/>
      <w:r>
        <w:t>Concepts for adoption and impact studies for the CRP</w:t>
      </w:r>
      <w:r w:rsidR="00652399">
        <w:t> </w:t>
      </w:r>
      <w:r>
        <w:t>Livestock</w:t>
      </w:r>
      <w:r w:rsidR="00D25035">
        <w:t xml:space="preserve"> </w:t>
      </w:r>
      <w:r w:rsidR="00652399">
        <w:t xml:space="preserve">- </w:t>
      </w:r>
      <w:r>
        <w:t>Strategic Investment Fund</w:t>
      </w:r>
    </w:p>
    <w:p w14:paraId="34782F0E" w14:textId="438A67B1" w:rsidR="00F2721A" w:rsidRPr="00F2721A" w:rsidRDefault="00F2721A" w:rsidP="00560E13">
      <w:r>
        <w:t xml:space="preserve">Nils Teufel, Ricardo Labarta, Isabelle </w:t>
      </w:r>
      <w:proofErr w:type="spellStart"/>
      <w:r>
        <w:t>Baltenweck</w:t>
      </w:r>
      <w:proofErr w:type="spellEnd"/>
      <w:r>
        <w:t>, Steve Staal</w:t>
      </w:r>
    </w:p>
    <w:p w14:paraId="250A6D3D" w14:textId="01A2380C" w:rsidR="001872A2" w:rsidRDefault="001872A2" w:rsidP="00560E13"/>
    <w:p w14:paraId="1E11374C" w14:textId="77777777" w:rsidR="001872A2" w:rsidRPr="001872A2" w:rsidRDefault="001872A2" w:rsidP="001872A2"/>
    <w:p w14:paraId="5FB2EF2A" w14:textId="77777777" w:rsidR="001872A2" w:rsidRPr="00CF3E04" w:rsidRDefault="001872A2" w:rsidP="00CF3E04"/>
    <w:p w14:paraId="58B59A45" w14:textId="77777777" w:rsidR="001872A2" w:rsidRPr="00564594" w:rsidRDefault="001872A2" w:rsidP="00564594"/>
    <w:p w14:paraId="474CCB8C" w14:textId="49EC2168" w:rsidR="001872A2" w:rsidRDefault="001872A2" w:rsidP="001872A2"/>
    <w:p w14:paraId="02CA728B" w14:textId="2650E615" w:rsidR="001872A2" w:rsidRDefault="001872A2" w:rsidP="001872A2">
      <w:pPr>
        <w:tabs>
          <w:tab w:val="left" w:pos="1198"/>
        </w:tabs>
      </w:pPr>
      <w:r>
        <w:tab/>
      </w:r>
    </w:p>
    <w:p w14:paraId="6398EA3F" w14:textId="77777777" w:rsidR="001872A2" w:rsidRPr="001872A2" w:rsidRDefault="001872A2" w:rsidP="00B90709"/>
    <w:p w14:paraId="6F48CAA7" w14:textId="77777777" w:rsidR="001872A2" w:rsidRPr="00CF3E04" w:rsidRDefault="001872A2" w:rsidP="00B90709"/>
    <w:p w14:paraId="6F450F1A" w14:textId="77777777" w:rsidR="001872A2" w:rsidRPr="00564594" w:rsidRDefault="001872A2" w:rsidP="00B90709"/>
    <w:p w14:paraId="7B36D9C6" w14:textId="77777777" w:rsidR="001872A2" w:rsidRPr="00564594" w:rsidRDefault="001872A2" w:rsidP="00B90709"/>
    <w:p w14:paraId="6EA2923C" w14:textId="77777777" w:rsidR="001872A2" w:rsidRPr="0095194A" w:rsidRDefault="001872A2" w:rsidP="00B90709"/>
    <w:p w14:paraId="07E1E89B" w14:textId="77777777" w:rsidR="001872A2" w:rsidRPr="001872A2" w:rsidRDefault="001872A2" w:rsidP="00B90709"/>
    <w:p w14:paraId="5E046691" w14:textId="77777777" w:rsidR="001872A2" w:rsidRPr="001872A2" w:rsidRDefault="001872A2" w:rsidP="00B90709"/>
    <w:p w14:paraId="089769BB" w14:textId="69DFBF49" w:rsidR="001872A2" w:rsidRDefault="001872A2" w:rsidP="001872A2"/>
    <w:p w14:paraId="47BA4D6D" w14:textId="51393CBE" w:rsidR="00F2721A" w:rsidRPr="001872A2" w:rsidRDefault="001872A2" w:rsidP="00B90709">
      <w:pPr>
        <w:tabs>
          <w:tab w:val="left" w:pos="2143"/>
        </w:tabs>
      </w:pPr>
      <w:r>
        <w:tab/>
      </w:r>
    </w:p>
    <w:p w14:paraId="0D94A10B" w14:textId="138DD7F8" w:rsidR="00882D8F" w:rsidRDefault="00882D8F" w:rsidP="005F0304">
      <w:pPr>
        <w:pStyle w:val="Heading1"/>
      </w:pPr>
      <w:r>
        <w:lastRenderedPageBreak/>
        <w:t>Introduction</w:t>
      </w:r>
    </w:p>
    <w:p w14:paraId="167FD9F6" w14:textId="70F3300E" w:rsidR="000B66F3" w:rsidRDefault="001872A2" w:rsidP="00882D8F">
      <w:pPr>
        <w:pStyle w:val="BodyText"/>
      </w:pPr>
      <w:r>
        <w:t>The assessment of a</w:t>
      </w:r>
      <w:r w:rsidR="000B66F3">
        <w:t xml:space="preserve">doption and impact </w:t>
      </w:r>
      <w:r w:rsidR="00652399">
        <w:t>of</w:t>
      </w:r>
      <w:r w:rsidR="000B66F3">
        <w:t xml:space="preserve"> technologies linked to previous CG investments is a major objective pursued</w:t>
      </w:r>
      <w:r w:rsidR="00882D8F">
        <w:t xml:space="preserve"> by </w:t>
      </w:r>
      <w:r w:rsidR="00161B3B">
        <w:t xml:space="preserve">CRP </w:t>
      </w:r>
      <w:r w:rsidR="00882D8F">
        <w:t>Livestock</w:t>
      </w:r>
      <w:r w:rsidR="00161B3B">
        <w:t>’s</w:t>
      </w:r>
      <w:r w:rsidR="00882D8F">
        <w:t xml:space="preserve"> Strategic Investment Fund (SIF) in 2017</w:t>
      </w:r>
      <w:r>
        <w:t xml:space="preserve"> and 2018</w:t>
      </w:r>
      <w:r w:rsidR="00882D8F">
        <w:t xml:space="preserve">. This document </w:t>
      </w:r>
      <w:r w:rsidR="00652399">
        <w:t>proposes</w:t>
      </w:r>
      <w:r w:rsidR="00882D8F">
        <w:t xml:space="preserve"> four research studies which appear suitable for this objective. Two of these focus on adoption and its measurement while the other two aim to investigate household-level impacts of adopting</w:t>
      </w:r>
      <w:r w:rsidR="00652399">
        <w:t xml:space="preserve"> the</w:t>
      </w:r>
      <w:r w:rsidR="00882D8F">
        <w:t xml:space="preserve"> promoted technologies</w:t>
      </w:r>
      <w:r w:rsidR="000B66F3">
        <w:t>,</w:t>
      </w:r>
      <w:r w:rsidR="00882D8F">
        <w:t xml:space="preserve"> with one of these also </w:t>
      </w:r>
      <w:r w:rsidR="00652399">
        <w:t>including</w:t>
      </w:r>
      <w:r w:rsidR="00882D8F">
        <w:t xml:space="preserve"> a strong adoption component.</w:t>
      </w:r>
      <w:r w:rsidR="00BF58C4">
        <w:t xml:space="preserve"> They have been selected for being </w:t>
      </w:r>
      <w:r w:rsidR="00652399">
        <w:t>based</w:t>
      </w:r>
      <w:r w:rsidR="00BF58C4">
        <w:t xml:space="preserve"> on previous research work by CG centres, their relevance for </w:t>
      </w:r>
      <w:r w:rsidR="00652399">
        <w:t xml:space="preserve">SDG-oriented </w:t>
      </w:r>
      <w:r w:rsidR="00BF58C4">
        <w:t xml:space="preserve">development efforts and </w:t>
      </w:r>
      <w:r w:rsidR="00652399">
        <w:t>their</w:t>
      </w:r>
      <w:r w:rsidR="00BF58C4">
        <w:t xml:space="preserve"> suit</w:t>
      </w:r>
      <w:r w:rsidR="000B66F3">
        <w:t>ab</w:t>
      </w:r>
      <w:r w:rsidR="00652399">
        <w:t>i</w:t>
      </w:r>
      <w:r w:rsidR="000B66F3">
        <w:t>l</w:t>
      </w:r>
      <w:r w:rsidR="00652399">
        <w:t>ity</w:t>
      </w:r>
      <w:r w:rsidR="00BF58C4">
        <w:t xml:space="preserve"> for rigorous assessment. </w:t>
      </w:r>
      <w:r>
        <w:t>A</w:t>
      </w:r>
      <w:r w:rsidR="00BF58C4">
        <w:t xml:space="preserve">ll four studies are aimed at </w:t>
      </w:r>
      <w:r w:rsidR="000B66F3">
        <w:t>the development and dissemination of forages.</w:t>
      </w:r>
    </w:p>
    <w:p w14:paraId="19B96F97" w14:textId="505C78CF" w:rsidR="00815408" w:rsidRDefault="001872A2" w:rsidP="00882D8F">
      <w:pPr>
        <w:pStyle w:val="BodyText"/>
      </w:pPr>
      <w:r>
        <w:t>T</w:t>
      </w:r>
      <w:r w:rsidR="00BF58C4">
        <w:t>he potential of feed improvements to transform livestock productivity is often underrated</w:t>
      </w:r>
      <w:r>
        <w:t xml:space="preserve"> in comparison to other livestock-oriented technologies, making research into their adoption and impact a priority for SIF funding. An addition, feed-oriented CG research has generated </w:t>
      </w:r>
      <w:r w:rsidR="00BF58C4">
        <w:t>specific products</w:t>
      </w:r>
      <w:r w:rsidR="00815408">
        <w:t xml:space="preserve"> </w:t>
      </w:r>
      <w:r>
        <w:t>and</w:t>
      </w:r>
      <w:r w:rsidR="00815408">
        <w:t xml:space="preserve"> technologies,</w:t>
      </w:r>
      <w:r>
        <w:t xml:space="preserve"> which can be identified,</w:t>
      </w:r>
      <w:r w:rsidR="00815408">
        <w:t xml:space="preserve"> </w:t>
      </w:r>
      <w:r w:rsidR="00BF58C4">
        <w:t>tracked and assessed</w:t>
      </w:r>
      <w:r w:rsidR="000B66F3">
        <w:t xml:space="preserve"> from development to adoption by livestock producers</w:t>
      </w:r>
      <w:r w:rsidR="00BF58C4">
        <w:t>. Recent CG research into animal health and genetic improvements offer fewer</w:t>
      </w:r>
      <w:r w:rsidR="00652399">
        <w:t xml:space="preserve"> such</w:t>
      </w:r>
      <w:r w:rsidR="00BF58C4">
        <w:t xml:space="preserve"> opportunities</w:t>
      </w:r>
      <w:r w:rsidR="00815408">
        <w:t xml:space="preserve">, because the research is either located too far up-stream to show direct links to adoption and impact (e.g. research into vaccine development), or it is closely integrated into broader development activities, limiting the opportunities to identify </w:t>
      </w:r>
      <w:r w:rsidR="00652399">
        <w:t xml:space="preserve">the </w:t>
      </w:r>
      <w:r w:rsidR="00815408">
        <w:t>CG-specific technology contribution (e.g. supporting the adoption of artificial insemination)</w:t>
      </w:r>
      <w:r w:rsidR="00BF58C4">
        <w:t>.</w:t>
      </w:r>
    </w:p>
    <w:p w14:paraId="177E974E" w14:textId="1FA49C60" w:rsidR="00815408" w:rsidRDefault="006D1962" w:rsidP="00882D8F">
      <w:pPr>
        <w:pStyle w:val="BodyText"/>
      </w:pPr>
      <w:r>
        <w:t>C</w:t>
      </w:r>
      <w:r w:rsidR="000B66F3">
        <w:t>andidate studies have</w:t>
      </w:r>
      <w:r>
        <w:t xml:space="preserve"> also</w:t>
      </w:r>
      <w:r w:rsidR="000B66F3">
        <w:t xml:space="preserve"> been selected </w:t>
      </w:r>
      <w:r w:rsidR="00815408">
        <w:t>for</w:t>
      </w:r>
      <w:r w:rsidR="000B66F3">
        <w:t xml:space="preserve"> the collaborative nature of their research </w:t>
      </w:r>
      <w:r>
        <w:t>implementation plans</w:t>
      </w:r>
      <w:r w:rsidR="000B66F3">
        <w:t>. F</w:t>
      </w:r>
      <w:r w:rsidR="00BF58C4">
        <w:t xml:space="preserve">odder-related research is </w:t>
      </w:r>
      <w:r w:rsidR="000B66F3">
        <w:t xml:space="preserve">especially attractive in this regard as it </w:t>
      </w:r>
      <w:r w:rsidR="00815408">
        <w:t>entails close co-operation</w:t>
      </w:r>
      <w:r w:rsidR="00BF58C4">
        <w:t xml:space="preserve"> across </w:t>
      </w:r>
      <w:r w:rsidR="00CE77D8">
        <w:t>several</w:t>
      </w:r>
      <w:r w:rsidR="00BF58C4">
        <w:t xml:space="preserve"> CG centres</w:t>
      </w:r>
      <w:r w:rsidR="00123C36">
        <w:t xml:space="preserve"> as well as with local partners</w:t>
      </w:r>
      <w:r w:rsidR="00BF58C4">
        <w:t>.</w:t>
      </w:r>
    </w:p>
    <w:p w14:paraId="7051E476" w14:textId="029DB22D" w:rsidR="00123C36" w:rsidRDefault="00123C36" w:rsidP="00882D8F">
      <w:pPr>
        <w:pStyle w:val="BodyText"/>
      </w:pPr>
      <w:r>
        <w:t>Finally, the candidate studies have been selected to provide a variety of assessment approaches, from focussing on technical</w:t>
      </w:r>
      <w:r w:rsidR="00815408">
        <w:t>,</w:t>
      </w:r>
      <w:r>
        <w:t xml:space="preserve"> </w:t>
      </w:r>
      <w:r w:rsidR="00815408">
        <w:t xml:space="preserve">economic and political </w:t>
      </w:r>
      <w:r>
        <w:t xml:space="preserve">determinants of adoption, over </w:t>
      </w:r>
      <w:r w:rsidR="00815408">
        <w:t xml:space="preserve">adoption </w:t>
      </w:r>
      <w:r>
        <w:t>measurement issues to impacts</w:t>
      </w:r>
      <w:r w:rsidR="00815408">
        <w:t xml:space="preserve"> of adoption</w:t>
      </w:r>
      <w:r>
        <w:t xml:space="preserve"> on livelihoods measured by various indicators</w:t>
      </w:r>
      <w:r w:rsidR="00CE77D8">
        <w:t xml:space="preserve"> of development and well-being</w:t>
      </w:r>
      <w:r>
        <w:t>.</w:t>
      </w:r>
    </w:p>
    <w:p w14:paraId="19F2D2CE" w14:textId="090FD2B0" w:rsidR="00882D8F" w:rsidRDefault="00123C36" w:rsidP="00882D8F">
      <w:pPr>
        <w:pStyle w:val="BodyText"/>
      </w:pPr>
      <w:r>
        <w:t>The sequence of the candidate studies presented here suggest</w:t>
      </w:r>
      <w:r w:rsidR="00652399">
        <w:t>s a</w:t>
      </w:r>
      <w:r>
        <w:t xml:space="preserve"> prioritisation and sequenc</w:t>
      </w:r>
      <w:r w:rsidR="00652399">
        <w:t>e</w:t>
      </w:r>
      <w:r>
        <w:t xml:space="preserve"> within the two-year time horizon envisaged for this funding. Thus, the priorities represent a combination of </w:t>
      </w:r>
      <w:r w:rsidR="006D1962">
        <w:t xml:space="preserve">integrating </w:t>
      </w:r>
      <w:r>
        <w:t xml:space="preserve">the studies into the overall research environment of the </w:t>
      </w:r>
      <w:r w:rsidR="00815408">
        <w:t xml:space="preserve">CRP </w:t>
      </w:r>
      <w:r>
        <w:t>Livestock and the participating CG centres, the urgency of generating the expected research results as well as the scientific importance of these results.</w:t>
      </w:r>
      <w:r w:rsidR="00815408">
        <w:t xml:space="preserve"> The two studies planned to be initiated in 2017 are developed in greater detail, with the other two studies presented as concepts, to be further developed </w:t>
      </w:r>
      <w:r w:rsidR="00CA3EA6">
        <w:t xml:space="preserve">when the CRP Livestock’s research strategy </w:t>
      </w:r>
      <w:r w:rsidR="00652399">
        <w:t xml:space="preserve">and funding </w:t>
      </w:r>
      <w:r w:rsidR="00CA3EA6">
        <w:t>for 2018 and 2019 becomes clearer.</w:t>
      </w:r>
    </w:p>
    <w:p w14:paraId="657D440D" w14:textId="3F126C2D" w:rsidR="00123C36" w:rsidRDefault="00123C36" w:rsidP="00882D8F">
      <w:pPr>
        <w:pStyle w:val="BodyText"/>
      </w:pPr>
      <w:r>
        <w:t xml:space="preserve">In order to ensure </w:t>
      </w:r>
      <w:r w:rsidR="00815408">
        <w:t>a</w:t>
      </w:r>
      <w:r>
        <w:t xml:space="preserve"> research design </w:t>
      </w:r>
      <w:r w:rsidR="00815408">
        <w:t xml:space="preserve">most appropriate </w:t>
      </w:r>
      <w:r>
        <w:t>for each study’s objectives and context, t</w:t>
      </w:r>
      <w:r w:rsidR="007620AD">
        <w:t xml:space="preserve">he studies are split into </w:t>
      </w:r>
      <w:r w:rsidR="00CE77D8">
        <w:t xml:space="preserve">two </w:t>
      </w:r>
      <w:r w:rsidR="007620AD">
        <w:t>distinct</w:t>
      </w:r>
      <w:r w:rsidR="00CE77D8">
        <w:t xml:space="preserve"> phases: The initial</w:t>
      </w:r>
      <w:r w:rsidR="007620AD">
        <w:t xml:space="preserve"> design</w:t>
      </w:r>
      <w:r w:rsidR="00CE77D8">
        <w:t xml:space="preserve"> phase includes the development of detailed hypotheses, the selection of appropriate analysis procedures, the review </w:t>
      </w:r>
      <w:r w:rsidR="00652399">
        <w:t xml:space="preserve">and assembly </w:t>
      </w:r>
      <w:r w:rsidR="00CE77D8">
        <w:t xml:space="preserve">of existing data for sampling and analysis simulation and the establishment of research partnerships, </w:t>
      </w:r>
      <w:r w:rsidR="00652399">
        <w:t>resulting in the formulation of</w:t>
      </w:r>
      <w:r w:rsidR="00CE77D8">
        <w:t xml:space="preserve"> an efficient research design</w:t>
      </w:r>
      <w:r w:rsidR="00652399">
        <w:t xml:space="preserve"> and implementation plan</w:t>
      </w:r>
      <w:r w:rsidR="00CE77D8">
        <w:t xml:space="preserve">. </w:t>
      </w:r>
      <w:r w:rsidR="00802C7C">
        <w:t xml:space="preserve">The review of outputs generated in the first phase of each of the proposed studies will be carried out in collaboration with the CGIAR’s Standing Panel on Impact Assessment (SPIA) and the Royal Tropical Institute (KIT). </w:t>
      </w:r>
      <w:r w:rsidR="00CE77D8">
        <w:t xml:space="preserve">During the second phase </w:t>
      </w:r>
      <w:r w:rsidR="00802C7C">
        <w:t xml:space="preserve">of the studies </w:t>
      </w:r>
      <w:r w:rsidR="00CE77D8">
        <w:t>the</w:t>
      </w:r>
      <w:r w:rsidR="00802C7C">
        <w:t xml:space="preserve"> developed</w:t>
      </w:r>
      <w:r w:rsidR="00CE77D8">
        <w:t xml:space="preserve"> plans will be executed, mainly through implementing data collection and analysis.</w:t>
      </w:r>
      <w:r w:rsidR="00DE4CA2">
        <w:t xml:space="preserve"> For each study, budget approval of the second phase will be based on the review of the first phase.</w:t>
      </w:r>
    </w:p>
    <w:p w14:paraId="31C261B9" w14:textId="77777777" w:rsidR="00CE77D8" w:rsidRDefault="00CE77D8" w:rsidP="00882D8F">
      <w:pPr>
        <w:pStyle w:val="BodyText"/>
      </w:pPr>
    </w:p>
    <w:p w14:paraId="0831DD5F" w14:textId="77777777" w:rsidR="006318C5" w:rsidRDefault="006318C5" w:rsidP="006318C5">
      <w:pPr>
        <w:pStyle w:val="Heading1"/>
      </w:pPr>
      <w:r>
        <w:lastRenderedPageBreak/>
        <w:t>A global approach to improving the estimation of forage adoption based on seed distribution figures</w:t>
      </w:r>
    </w:p>
    <w:p w14:paraId="6D3B0089" w14:textId="77777777" w:rsidR="006E578C" w:rsidRPr="00A00DD7" w:rsidRDefault="006E578C" w:rsidP="004A3495">
      <w:pPr>
        <w:pStyle w:val="Heading2"/>
      </w:pPr>
      <w:r w:rsidRPr="00A00DD7">
        <w:t>Motivation</w:t>
      </w:r>
    </w:p>
    <w:p w14:paraId="0B906DE6" w14:textId="6A9B969D" w:rsidR="006E578C" w:rsidRPr="00A00DD7" w:rsidRDefault="006E578C" w:rsidP="006E578C">
      <w:pPr>
        <w:pStyle w:val="BodyText"/>
      </w:pPr>
      <w:r w:rsidRPr="00A00DD7">
        <w:t xml:space="preserve">In spite of the various efforts to introduce improved forages in developing countries there is a lack of evidence of the extent of the adoption of these forages. Given the </w:t>
      </w:r>
      <w:r w:rsidR="00DE4CA2">
        <w:t>wide</w:t>
      </w:r>
      <w:r w:rsidR="00DE4CA2" w:rsidRPr="00A00DD7">
        <w:t xml:space="preserve"> </w:t>
      </w:r>
      <w:r w:rsidR="00DE4CA2">
        <w:t>distribution</w:t>
      </w:r>
      <w:r w:rsidR="00DE4CA2" w:rsidRPr="00A00DD7">
        <w:t xml:space="preserve"> </w:t>
      </w:r>
      <w:r w:rsidRPr="00A00DD7">
        <w:t xml:space="preserve">of forages, especially in tropical areas of the developing world, it has been very challenging to document the level of adoption of different forages and the impacts associated with this </w:t>
      </w:r>
      <w:r w:rsidR="00A40491" w:rsidRPr="00A00DD7">
        <w:t>adoption</w:t>
      </w:r>
      <w:r w:rsidR="00A40491">
        <w:t xml:space="preserve"> (</w:t>
      </w:r>
      <w:proofErr w:type="spellStart"/>
      <w:r w:rsidR="00A40491">
        <w:t>Jutzi</w:t>
      </w:r>
      <w:proofErr w:type="spellEnd"/>
      <w:r w:rsidR="00A40491">
        <w:t xml:space="preserve"> &amp; Rich 2016)</w:t>
      </w:r>
      <w:r w:rsidRPr="00A00DD7">
        <w:t>.</w:t>
      </w:r>
    </w:p>
    <w:p w14:paraId="3ED4DA36" w14:textId="55A7C948" w:rsidR="006E578C" w:rsidRDefault="006E578C" w:rsidP="006E578C">
      <w:pPr>
        <w:pStyle w:val="BodyText"/>
        <w:rPr>
          <w:u w:val="single"/>
        </w:rPr>
      </w:pPr>
      <w:r w:rsidRPr="00A00DD7">
        <w:t>In many countries, it has been proposed to take advantage of the availability of records on forage seed sales as an indicator of the level of adoption of different forages. Using expected seeding rates, there has been some attempts to convert these seed sales into adoption estimates of the true use of different forages</w:t>
      </w:r>
      <w:r w:rsidR="00491158">
        <w:t xml:space="preserve"> (</w:t>
      </w:r>
      <w:proofErr w:type="spellStart"/>
      <w:r w:rsidR="00491158">
        <w:t>Holmann</w:t>
      </w:r>
      <w:proofErr w:type="spellEnd"/>
      <w:r w:rsidR="00491158">
        <w:t xml:space="preserve"> et al 2004</w:t>
      </w:r>
      <w:r w:rsidR="00194219">
        <w:t xml:space="preserve">, </w:t>
      </w:r>
      <w:proofErr w:type="spellStart"/>
      <w:r w:rsidR="00194219">
        <w:t>Holmann</w:t>
      </w:r>
      <w:proofErr w:type="spellEnd"/>
      <w:r w:rsidR="00194219">
        <w:t xml:space="preserve"> et al 2005</w:t>
      </w:r>
      <w:r w:rsidR="00491158">
        <w:t>)</w:t>
      </w:r>
      <w:r w:rsidRPr="00A00DD7">
        <w:t>. However, in many cases the estimates of adoption using seed sales have not been validated and in other cases there is evidence of an overestimation of the adoption of different forages</w:t>
      </w:r>
      <w:r w:rsidR="00B47602">
        <w:t xml:space="preserve"> (Labarta et al. 2017)</w:t>
      </w:r>
      <w:r w:rsidRPr="00A00DD7">
        <w:t>. There are a number of reasons for why the use of seed sales may not offer a direct translation into adoption estimates:</w:t>
      </w:r>
    </w:p>
    <w:p w14:paraId="560BAC37" w14:textId="523DE2B3" w:rsidR="00DE4CA2" w:rsidRPr="006E578C" w:rsidRDefault="00DE4CA2" w:rsidP="00DE4CA2">
      <w:pPr>
        <w:pStyle w:val="ListParagraph"/>
      </w:pPr>
      <w:r w:rsidRPr="006E578C">
        <w:t>Seed sales do not distinguish between using purchased seed for expanding forage area or for replacing old or degraded pastures</w:t>
      </w:r>
      <w:r>
        <w:t xml:space="preserve">, resulting, in combination with limited knowledge on reseeding intervals, of </w:t>
      </w:r>
      <w:r w:rsidR="00AA3747">
        <w:t>imprecise estimates of area-based adoption rates.</w:t>
      </w:r>
      <w:r w:rsidRPr="006E578C">
        <w:t xml:space="preserve"> </w:t>
      </w:r>
    </w:p>
    <w:p w14:paraId="06C4124D" w14:textId="5CB3C4B4" w:rsidR="006E578C" w:rsidRPr="006E578C" w:rsidRDefault="006E578C" w:rsidP="00D55CCC">
      <w:pPr>
        <w:pStyle w:val="ListParagraph"/>
      </w:pPr>
      <w:r w:rsidRPr="006E578C">
        <w:t>Seed sales records do not account for own seed production, informal forage seed systems and farmer</w:t>
      </w:r>
      <w:r w:rsidR="00DE4CA2">
        <w:t>-</w:t>
      </w:r>
      <w:r w:rsidRPr="006E578C">
        <w:t>to</w:t>
      </w:r>
      <w:r w:rsidR="00DE4CA2">
        <w:t>-</w:t>
      </w:r>
      <w:r w:rsidRPr="006E578C">
        <w:t>farmer dissemination</w:t>
      </w:r>
      <w:r w:rsidR="00DE4CA2">
        <w:t>, potentially leading to underestimated adoption rates.</w:t>
      </w:r>
      <w:r w:rsidRPr="006E578C">
        <w:t xml:space="preserve"> </w:t>
      </w:r>
    </w:p>
    <w:p w14:paraId="0C500BC7" w14:textId="7EB291A4" w:rsidR="006E578C" w:rsidRPr="006E578C" w:rsidRDefault="006E578C" w:rsidP="00D55CCC">
      <w:pPr>
        <w:pStyle w:val="ListParagraph"/>
      </w:pPr>
      <w:r w:rsidRPr="006E578C">
        <w:t xml:space="preserve">Usually there is no information on seed germination rate and/or successful rate of establishment </w:t>
      </w:r>
    </w:p>
    <w:p w14:paraId="75E09673" w14:textId="1506344E" w:rsidR="006E578C" w:rsidRPr="006E578C" w:rsidRDefault="006E578C" w:rsidP="00D55CCC">
      <w:pPr>
        <w:pStyle w:val="ListParagraph"/>
      </w:pPr>
      <w:r w:rsidRPr="006E578C">
        <w:t>Conversions of seed sales into adoption rate do not consider livestock producers</w:t>
      </w:r>
      <w:r w:rsidR="00DE4CA2">
        <w:t>’</w:t>
      </w:r>
      <w:r w:rsidRPr="006E578C">
        <w:t xml:space="preserve"> heterogeneity </w:t>
      </w:r>
      <w:r w:rsidR="00DE4CA2">
        <w:t>i</w:t>
      </w:r>
      <w:r w:rsidRPr="006E578C">
        <w:t>n seed rate</w:t>
      </w:r>
      <w:r w:rsidR="00DE4CA2">
        <w:t>s compared to recommended rates.</w:t>
      </w:r>
      <w:r w:rsidRPr="006E578C">
        <w:t xml:space="preserve"> </w:t>
      </w:r>
    </w:p>
    <w:p w14:paraId="43F8ACB8" w14:textId="6A3850C6" w:rsidR="006E578C" w:rsidRPr="006E578C" w:rsidRDefault="006E578C" w:rsidP="00D55CCC">
      <w:pPr>
        <w:pStyle w:val="ListParagraph"/>
      </w:pPr>
      <w:r w:rsidRPr="006E578C">
        <w:t xml:space="preserve">Conversions also do not distinguish dairy, meat production or other orientation of farms </w:t>
      </w:r>
    </w:p>
    <w:p w14:paraId="3606DAE6" w14:textId="2CB5E10E" w:rsidR="006E578C" w:rsidRPr="006E578C" w:rsidRDefault="006E578C" w:rsidP="00D55CCC">
      <w:pPr>
        <w:pStyle w:val="ListParagraph"/>
      </w:pPr>
      <w:r w:rsidRPr="006E578C">
        <w:t>Seed sales do not consider livestock producers preferences, forage management and therefore real demand for forage seed and forage cultivars</w:t>
      </w:r>
    </w:p>
    <w:p w14:paraId="40086B0B" w14:textId="48A56D8B" w:rsidR="006E578C" w:rsidRDefault="006E578C" w:rsidP="006E578C">
      <w:pPr>
        <w:pStyle w:val="BodyText"/>
      </w:pPr>
      <w:r w:rsidRPr="00A00DD7">
        <w:t xml:space="preserve">Although the </w:t>
      </w:r>
      <w:r w:rsidR="00AA3747">
        <w:t xml:space="preserve">direct </w:t>
      </w:r>
      <w:r w:rsidRPr="00A00DD7">
        <w:t>use of seed sales</w:t>
      </w:r>
      <w:r w:rsidR="00AA3747">
        <w:t xml:space="preserve"> data</w:t>
      </w:r>
      <w:r w:rsidRPr="00A00DD7">
        <w:t xml:space="preserve"> may help to estimate the </w:t>
      </w:r>
      <w:r w:rsidR="00AA3747">
        <w:t xml:space="preserve">relative use </w:t>
      </w:r>
      <w:r w:rsidRPr="00A00DD7">
        <w:t>level</w:t>
      </w:r>
      <w:r w:rsidR="00AA3747">
        <w:t>s</w:t>
      </w:r>
      <w:r w:rsidRPr="00A00DD7">
        <w:t xml:space="preserve"> of different forages, there is a clear need to </w:t>
      </w:r>
      <w:r w:rsidR="00AA3747">
        <w:t xml:space="preserve">better </w:t>
      </w:r>
      <w:r w:rsidRPr="00A00DD7">
        <w:t xml:space="preserve">understand </w:t>
      </w:r>
      <w:r w:rsidR="00AA3747">
        <w:t>how</w:t>
      </w:r>
      <w:r w:rsidRPr="00A00DD7">
        <w:t xml:space="preserve"> seed sales</w:t>
      </w:r>
      <w:r w:rsidR="00AA3747">
        <w:t xml:space="preserve"> data</w:t>
      </w:r>
      <w:r w:rsidRPr="00A00DD7">
        <w:t xml:space="preserve"> </w:t>
      </w:r>
      <w:r w:rsidR="00AA3747">
        <w:t>can</w:t>
      </w:r>
      <w:r w:rsidRPr="00A00DD7">
        <w:t xml:space="preserve"> be translated into </w:t>
      </w:r>
      <w:r w:rsidR="00AA3747">
        <w:t xml:space="preserve">more precise </w:t>
      </w:r>
      <w:r w:rsidRPr="00A00DD7">
        <w:t xml:space="preserve">adoption estimates of the </w:t>
      </w:r>
      <w:r w:rsidR="00AA3747">
        <w:t>relevant</w:t>
      </w:r>
      <w:r w:rsidRPr="00A00DD7">
        <w:t xml:space="preserve"> forages.</w:t>
      </w:r>
      <w:r w:rsidR="002E5B17">
        <w:t xml:space="preserve"> The aim of this study is to develop a methodological approach with </w:t>
      </w:r>
      <w:r w:rsidR="00AA3747">
        <w:t>global</w:t>
      </w:r>
      <w:r w:rsidR="002E5B17">
        <w:t xml:space="preserve"> applicability. Recognizing differences among production systems across regions and agro</w:t>
      </w:r>
      <w:r w:rsidR="00AA3747">
        <w:t>-</w:t>
      </w:r>
      <w:r w:rsidR="002E5B17">
        <w:t xml:space="preserve">ecologies in the world, we expect to develop a general model that </w:t>
      </w:r>
      <w:r w:rsidR="00DF6BF3">
        <w:t xml:space="preserve">can </w:t>
      </w:r>
      <w:r w:rsidR="002E5B17">
        <w:t xml:space="preserve">be </w:t>
      </w:r>
      <w:r w:rsidR="00AA3747">
        <w:t xml:space="preserve">easily </w:t>
      </w:r>
      <w:r w:rsidR="002E5B17">
        <w:t>adapted to different levels of seed system development and to different farming conditions.</w:t>
      </w:r>
    </w:p>
    <w:p w14:paraId="29824B85" w14:textId="52DFE392" w:rsidR="00802C7C" w:rsidRPr="00802C7C" w:rsidRDefault="00802C7C" w:rsidP="006E578C">
      <w:pPr>
        <w:pStyle w:val="BodyText"/>
        <w:rPr>
          <w:i/>
        </w:rPr>
      </w:pPr>
    </w:p>
    <w:p w14:paraId="21E1A36E" w14:textId="77777777" w:rsidR="006E578C" w:rsidRPr="00A00DD7" w:rsidRDefault="006E578C" w:rsidP="004A3495">
      <w:pPr>
        <w:pStyle w:val="Heading2"/>
      </w:pPr>
      <w:r w:rsidRPr="00A00DD7">
        <w:t>Objectives</w:t>
      </w:r>
    </w:p>
    <w:p w14:paraId="68476B28" w14:textId="76292D08" w:rsidR="006E578C" w:rsidRPr="00357574" w:rsidRDefault="006E578C" w:rsidP="006E578C">
      <w:pPr>
        <w:pStyle w:val="ListBullet"/>
      </w:pPr>
      <w:r w:rsidRPr="00357574">
        <w:t xml:space="preserve">We propose to develop a methodology for estimating the level of adoption of different forages species that builds on the use of seed sales records, but that will be adjusted by livestock producers’ seed management </w:t>
      </w:r>
      <w:r w:rsidR="00DF6BF3">
        <w:t>as well as the</w:t>
      </w:r>
      <w:r w:rsidRPr="00357574">
        <w:t xml:space="preserve"> production and market characteristics faced by these producers.</w:t>
      </w:r>
    </w:p>
    <w:p w14:paraId="16E6C037" w14:textId="1C3983AA" w:rsidR="006E578C" w:rsidRDefault="006E578C" w:rsidP="006E578C">
      <w:pPr>
        <w:pStyle w:val="ListBullet"/>
      </w:pPr>
      <w:r w:rsidRPr="00357574">
        <w:t>Once the methodology is developed, we propose to test the methodology in two cases and validate the conversion of seed sales into adoption estimates by comparing with actual measurement of adoption of different forages</w:t>
      </w:r>
      <w:r w:rsidR="00DF6BF3">
        <w:t>.</w:t>
      </w:r>
    </w:p>
    <w:p w14:paraId="722A3266" w14:textId="24B17170" w:rsidR="002E5B17" w:rsidRPr="00357574" w:rsidRDefault="002E5B17" w:rsidP="006E578C">
      <w:pPr>
        <w:pStyle w:val="ListBullet"/>
      </w:pPr>
      <w:r>
        <w:t xml:space="preserve">With a validated model we expect to identify the key information relevant to </w:t>
      </w:r>
      <w:r w:rsidR="00DF6BF3">
        <w:t xml:space="preserve">the </w:t>
      </w:r>
      <w:r>
        <w:t>adapt</w:t>
      </w:r>
      <w:r w:rsidR="00DF6BF3">
        <w:t>ation of</w:t>
      </w:r>
      <w:r>
        <w:t xml:space="preserve"> the methodological approach to a wider range of </w:t>
      </w:r>
      <w:r w:rsidR="00CC750A">
        <w:t xml:space="preserve">regions and production conditions of </w:t>
      </w:r>
      <w:r w:rsidR="00CC750A">
        <w:lastRenderedPageBreak/>
        <w:t>livestock systems</w:t>
      </w:r>
      <w:r w:rsidR="00DF6BF3">
        <w:t>. We will identify opportunities to test the adaptation and application of the approach in at least one further region.</w:t>
      </w:r>
    </w:p>
    <w:p w14:paraId="0F035EB3" w14:textId="77777777" w:rsidR="006E578C" w:rsidRPr="000D67B1" w:rsidRDefault="006E578C" w:rsidP="004A3495">
      <w:pPr>
        <w:pStyle w:val="Heading2"/>
      </w:pPr>
      <w:r w:rsidRPr="000D67B1">
        <w:t xml:space="preserve">Proposed activities: </w:t>
      </w:r>
    </w:p>
    <w:p w14:paraId="0F54B772" w14:textId="01AF5F46" w:rsidR="006E578C" w:rsidRPr="00D55CCC" w:rsidRDefault="006E578C" w:rsidP="00D55CCC">
      <w:pPr>
        <w:pStyle w:val="ListParagraph"/>
        <w:numPr>
          <w:ilvl w:val="0"/>
          <w:numId w:val="47"/>
        </w:numPr>
        <w:ind w:left="284"/>
      </w:pPr>
      <w:r w:rsidRPr="00D55CCC">
        <w:t xml:space="preserve">We will first identify </w:t>
      </w:r>
      <w:r w:rsidR="00D55CCC">
        <w:t>a group of</w:t>
      </w:r>
      <w:r w:rsidRPr="00D55CCC">
        <w:t xml:space="preserve"> potential countries suitable for our case studies. The criteria for selecting the</w:t>
      </w:r>
      <w:r w:rsidR="00D55CCC">
        <w:t>se</w:t>
      </w:r>
      <w:r w:rsidRPr="00D55CCC">
        <w:t xml:space="preserve"> </w:t>
      </w:r>
      <w:r w:rsidR="00D55CCC">
        <w:t>will be:</w:t>
      </w:r>
    </w:p>
    <w:p w14:paraId="400E4FA7" w14:textId="77777777" w:rsidR="006E578C" w:rsidRDefault="006E578C" w:rsidP="00D55CCC">
      <w:pPr>
        <w:pStyle w:val="ListParagraph"/>
        <w:numPr>
          <w:ilvl w:val="0"/>
          <w:numId w:val="43"/>
        </w:numPr>
      </w:pPr>
      <w:r>
        <w:t>Access to records of seed sales</w:t>
      </w:r>
    </w:p>
    <w:p w14:paraId="00129F33" w14:textId="77777777" w:rsidR="006E578C" w:rsidRDefault="006E578C" w:rsidP="00D55CCC">
      <w:pPr>
        <w:pStyle w:val="ListParagraph"/>
        <w:numPr>
          <w:ilvl w:val="0"/>
          <w:numId w:val="43"/>
        </w:numPr>
      </w:pPr>
      <w:r>
        <w:t>Willingness of seed/input dealers to share list of seed buyers in the last two years</w:t>
      </w:r>
    </w:p>
    <w:p w14:paraId="65721FB9" w14:textId="46598DF5" w:rsidR="006E578C" w:rsidRDefault="006E578C" w:rsidP="00D55CCC">
      <w:pPr>
        <w:pStyle w:val="ListParagraph"/>
        <w:numPr>
          <w:ilvl w:val="0"/>
          <w:numId w:val="43"/>
        </w:numPr>
      </w:pPr>
      <w:r>
        <w:t xml:space="preserve">Countries where CGIAR </w:t>
      </w:r>
      <w:r w:rsidR="00DF6BF3">
        <w:t>centres</w:t>
      </w:r>
      <w:r>
        <w:t xml:space="preserve"> have made investments in making available improved forages</w:t>
      </w:r>
    </w:p>
    <w:p w14:paraId="6637DEE3" w14:textId="6815E779" w:rsidR="006E578C" w:rsidRDefault="006E578C" w:rsidP="00D55CCC">
      <w:pPr>
        <w:pStyle w:val="ListParagraph"/>
        <w:numPr>
          <w:ilvl w:val="0"/>
          <w:numId w:val="43"/>
        </w:numPr>
      </w:pPr>
      <w:r>
        <w:t xml:space="preserve">Countries where </w:t>
      </w:r>
      <w:r w:rsidR="00DF6BF3">
        <w:t>some attempts at</w:t>
      </w:r>
      <w:r>
        <w:t xml:space="preserve"> estimat</w:t>
      </w:r>
      <w:r w:rsidR="00DF6BF3">
        <w:t>ing</w:t>
      </w:r>
      <w:r>
        <w:t xml:space="preserve"> </w:t>
      </w:r>
      <w:r w:rsidR="00DF6BF3">
        <w:t xml:space="preserve">forage </w:t>
      </w:r>
      <w:r>
        <w:t xml:space="preserve">adoption </w:t>
      </w:r>
      <w:r w:rsidR="00DF6BF3">
        <w:t>rates have been made</w:t>
      </w:r>
    </w:p>
    <w:p w14:paraId="086E9A69" w14:textId="77777777" w:rsidR="006E578C" w:rsidRDefault="006E578C" w:rsidP="00D55CCC">
      <w:pPr>
        <w:pStyle w:val="ListParagraph"/>
        <w:numPr>
          <w:ilvl w:val="0"/>
          <w:numId w:val="43"/>
        </w:numPr>
      </w:pPr>
      <w:r>
        <w:t xml:space="preserve">Feasibility to implement field data collection. </w:t>
      </w:r>
    </w:p>
    <w:p w14:paraId="16266FDC" w14:textId="58B4A283" w:rsidR="006E578C" w:rsidRDefault="006E578C" w:rsidP="006E578C">
      <w:pPr>
        <w:pStyle w:val="BodyText"/>
      </w:pPr>
      <w:r>
        <w:t xml:space="preserve">From this list of potential candidates we will select </w:t>
      </w:r>
      <w:r w:rsidR="00B47602">
        <w:t xml:space="preserve">the </w:t>
      </w:r>
      <w:r w:rsidR="00F2721A">
        <w:t xml:space="preserve">appropriate </w:t>
      </w:r>
      <w:r w:rsidR="00B47602">
        <w:t xml:space="preserve">number of </w:t>
      </w:r>
      <w:r w:rsidR="00D55CCC">
        <w:t xml:space="preserve">countries </w:t>
      </w:r>
      <w:r w:rsidR="00F2721A">
        <w:t>for</w:t>
      </w:r>
      <w:r w:rsidR="00B47602">
        <w:t xml:space="preserve"> suitable </w:t>
      </w:r>
      <w:r>
        <w:t>case studies to develop the methodology and to validate the adoption estimates.</w:t>
      </w:r>
      <w:r w:rsidR="00B47602">
        <w:t xml:space="preserve"> </w:t>
      </w:r>
      <w:r w:rsidR="00126B26">
        <w:t xml:space="preserve">Operationalising the selection criteria and determining the appropriate number of case studies </w:t>
      </w:r>
      <w:r w:rsidR="00B47602">
        <w:t xml:space="preserve">will be </w:t>
      </w:r>
      <w:r w:rsidR="00126B26">
        <w:t>a</w:t>
      </w:r>
      <w:r w:rsidR="00B47602">
        <w:t xml:space="preserve"> </w:t>
      </w:r>
      <w:r w:rsidR="00126B26">
        <w:t>major</w:t>
      </w:r>
      <w:r w:rsidR="00B47602">
        <w:t xml:space="preserve"> activity in the design phase and will shape the final budget</w:t>
      </w:r>
      <w:r w:rsidR="00126B26">
        <w:t xml:space="preserve"> allocation</w:t>
      </w:r>
      <w:r w:rsidR="00B47602">
        <w:t xml:space="preserve"> needed to implement the overall study.</w:t>
      </w:r>
    </w:p>
    <w:p w14:paraId="5B9E09DC" w14:textId="7024047D" w:rsidR="006E578C" w:rsidRDefault="006E578C" w:rsidP="00D55CCC">
      <w:pPr>
        <w:pStyle w:val="ListParagraph"/>
      </w:pPr>
      <w:r>
        <w:t xml:space="preserve">In the </w:t>
      </w:r>
      <w:r w:rsidR="00A40491">
        <w:t>identified</w:t>
      </w:r>
      <w:r>
        <w:t xml:space="preserve"> case studies we will design a sampling framework that will allow us to collect data on seed and farm management from seed buyers in the last two years. The sampl</w:t>
      </w:r>
      <w:r w:rsidR="00126B26">
        <w:t>ing</w:t>
      </w:r>
      <w:r>
        <w:t xml:space="preserve"> </w:t>
      </w:r>
      <w:r w:rsidR="00126B26">
        <w:t xml:space="preserve">design </w:t>
      </w:r>
      <w:r>
        <w:t>will include power calculations and a stratification strategy to include different livestock produc</w:t>
      </w:r>
      <w:r w:rsidR="00126B26">
        <w:t>e</w:t>
      </w:r>
      <w:r>
        <w:t>rs</w:t>
      </w:r>
      <w:r w:rsidR="00126B26">
        <w:t xml:space="preserve"> by</w:t>
      </w:r>
      <w:r>
        <w:t xml:space="preserve"> scale and </w:t>
      </w:r>
      <w:r w:rsidR="00126B26">
        <w:t xml:space="preserve">farm </w:t>
      </w:r>
      <w:r>
        <w:t xml:space="preserve">specialization. </w:t>
      </w:r>
      <w:r w:rsidR="00126B26">
        <w:t xml:space="preserve">The sample of </w:t>
      </w:r>
      <w:r>
        <w:t xml:space="preserve">livestock producers </w:t>
      </w:r>
      <w:r w:rsidR="00126B26">
        <w:t xml:space="preserve">for primary data collection </w:t>
      </w:r>
      <w:r>
        <w:t>will be drawn from the available list</w:t>
      </w:r>
      <w:r w:rsidR="00126B26">
        <w:t>s</w:t>
      </w:r>
      <w:r>
        <w:t xml:space="preserve"> of seed buyers.</w:t>
      </w:r>
    </w:p>
    <w:p w14:paraId="4BC0F06F" w14:textId="30CD2ECA" w:rsidR="001B3682" w:rsidRDefault="006E578C" w:rsidP="00D55CCC">
      <w:pPr>
        <w:pStyle w:val="ListParagraph"/>
      </w:pPr>
      <w:r>
        <w:t xml:space="preserve">We will design the methodology </w:t>
      </w:r>
      <w:r w:rsidR="00126B26">
        <w:t xml:space="preserve">for data analysis and collection based on </w:t>
      </w:r>
      <w:r>
        <w:t>an extensive literature review of methods to estimate adoption of forages and the methodological approach to combine seed sales records and seed and farm management information to be collected</w:t>
      </w:r>
      <w:r w:rsidR="00126B26">
        <w:t>.</w:t>
      </w:r>
    </w:p>
    <w:p w14:paraId="58ED2CF0" w14:textId="413E3657" w:rsidR="006E578C" w:rsidRDefault="00652399" w:rsidP="00DA1BF7">
      <w:pPr>
        <w:pStyle w:val="BodyText"/>
      </w:pPr>
      <w:r>
        <w:t>Research design and implementation plans will be reviewed after this</w:t>
      </w:r>
      <w:r w:rsidR="001B3682">
        <w:t xml:space="preserve"> activity.</w:t>
      </w:r>
    </w:p>
    <w:p w14:paraId="1DE1E23C" w14:textId="7D324B58" w:rsidR="006E578C" w:rsidRDefault="006E578C" w:rsidP="00D55CCC">
      <w:pPr>
        <w:pStyle w:val="ListParagraph"/>
      </w:pPr>
      <w:r>
        <w:t xml:space="preserve">We will implement the data collection from selected livestock producers in the </w:t>
      </w:r>
      <w:r w:rsidR="00A40491">
        <w:t>identified</w:t>
      </w:r>
      <w:r w:rsidR="00B47602">
        <w:t xml:space="preserve"> </w:t>
      </w:r>
      <w:r>
        <w:t>cases and complete a cleaned database for the analysis</w:t>
      </w:r>
    </w:p>
    <w:p w14:paraId="7DB0D29D" w14:textId="0D815F71" w:rsidR="006E578C" w:rsidRDefault="006E578C" w:rsidP="00D55CCC">
      <w:pPr>
        <w:pStyle w:val="ListParagraph"/>
      </w:pPr>
      <w:r>
        <w:t xml:space="preserve">We will implement the analysis and test the methodological approach in the </w:t>
      </w:r>
      <w:r w:rsidR="00B47602">
        <w:t xml:space="preserve">identified </w:t>
      </w:r>
      <w:r>
        <w:t>cases and validate its accuracy under different conditions</w:t>
      </w:r>
    </w:p>
    <w:p w14:paraId="038CC16E" w14:textId="0FE59E64" w:rsidR="006E578C" w:rsidRDefault="006E578C" w:rsidP="00D55CCC">
      <w:pPr>
        <w:pStyle w:val="ListParagraph"/>
      </w:pPr>
      <w:r>
        <w:t xml:space="preserve">We will discuss analysis results with different stakeholders and disseminate our research findings through publications and oral presentations </w:t>
      </w:r>
      <w:r w:rsidR="00DF6BF3">
        <w:t>and identify opportunities for further application of the approach</w:t>
      </w:r>
    </w:p>
    <w:p w14:paraId="1349EDB2" w14:textId="77777777" w:rsidR="006E578C" w:rsidRDefault="006E578C" w:rsidP="004A3495">
      <w:pPr>
        <w:pStyle w:val="Heading2"/>
      </w:pPr>
      <w:r w:rsidRPr="002447D7">
        <w:t>Project Outputs</w:t>
      </w:r>
    </w:p>
    <w:p w14:paraId="16307B04" w14:textId="77777777" w:rsidR="006E578C" w:rsidRDefault="006E578C" w:rsidP="006E578C">
      <w:pPr>
        <w:pStyle w:val="ListBullet"/>
      </w:pPr>
      <w:r>
        <w:t>A methodological approach to estimate adoption of forages using seed sales estimate that can be widely used in the livestock CRP and among partners</w:t>
      </w:r>
    </w:p>
    <w:p w14:paraId="5CEC0884" w14:textId="77777777" w:rsidR="006E578C" w:rsidRPr="00952EC9" w:rsidRDefault="006E578C" w:rsidP="006E578C">
      <w:pPr>
        <w:pStyle w:val="ListBullet"/>
      </w:pPr>
      <w:r>
        <w:t>A report on the validation of three cases to estimate the level of adoption of improved forages</w:t>
      </w:r>
    </w:p>
    <w:p w14:paraId="660F9567" w14:textId="77777777" w:rsidR="006E578C" w:rsidRDefault="006E578C" w:rsidP="006E578C">
      <w:pPr>
        <w:pStyle w:val="ListBullet"/>
      </w:pPr>
      <w:r>
        <w:t>A report on feedback from experts and stakeholders in the livestock sector and plans to implement widely the application of this methodological approach.</w:t>
      </w:r>
    </w:p>
    <w:p w14:paraId="7EE38E5E" w14:textId="77777777" w:rsidR="006E578C" w:rsidRDefault="006E578C" w:rsidP="006E578C">
      <w:pPr>
        <w:pStyle w:val="ListBullet"/>
      </w:pPr>
      <w:r>
        <w:t>A journal article on the cost effectiveness of using seed sales as a basis to estimate adoption of improved forages in developing countries.</w:t>
      </w:r>
    </w:p>
    <w:p w14:paraId="467E46F6" w14:textId="77777777" w:rsidR="006E578C" w:rsidRPr="009E26C4" w:rsidRDefault="006E578C" w:rsidP="004A3495">
      <w:pPr>
        <w:pStyle w:val="Heading2"/>
      </w:pPr>
      <w:r w:rsidRPr="009E26C4">
        <w:lastRenderedPageBreak/>
        <w:t>Calendar of Activities</w:t>
      </w:r>
    </w:p>
    <w:p w14:paraId="75751D90" w14:textId="77777777" w:rsidR="006E578C" w:rsidRPr="00686C88" w:rsidRDefault="006E578C" w:rsidP="006E578C">
      <w:pPr>
        <w:pStyle w:val="BodyText"/>
        <w:keepNext/>
        <w:keepLines/>
      </w:pPr>
    </w:p>
    <w:tbl>
      <w:tblPr>
        <w:tblStyle w:val="TableGrid"/>
        <w:tblW w:w="89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2126"/>
        <w:gridCol w:w="1134"/>
        <w:gridCol w:w="778"/>
        <w:gridCol w:w="779"/>
        <w:gridCol w:w="7"/>
        <w:gridCol w:w="771"/>
        <w:gridCol w:w="779"/>
        <w:gridCol w:w="778"/>
        <w:gridCol w:w="779"/>
      </w:tblGrid>
      <w:tr w:rsidR="001B3682" w:rsidRPr="00B61C6C" w14:paraId="0869AAB1" w14:textId="77777777" w:rsidTr="001B3682">
        <w:tc>
          <w:tcPr>
            <w:tcW w:w="988" w:type="dxa"/>
            <w:vMerge w:val="restart"/>
          </w:tcPr>
          <w:p w14:paraId="28FC011E" w14:textId="77777777" w:rsidR="001B3682" w:rsidRPr="00B61C6C" w:rsidRDefault="001B3682" w:rsidP="006E578C">
            <w:pPr>
              <w:pStyle w:val="Tablecentre"/>
            </w:pPr>
            <w:r>
              <w:t>Activities*</w:t>
            </w:r>
          </w:p>
        </w:tc>
        <w:tc>
          <w:tcPr>
            <w:tcW w:w="2126" w:type="dxa"/>
            <w:vMerge w:val="restart"/>
          </w:tcPr>
          <w:p w14:paraId="66C3B3A3" w14:textId="77777777" w:rsidR="001B3682" w:rsidRPr="00E3788D" w:rsidRDefault="001B3682" w:rsidP="00E3788D">
            <w:pPr>
              <w:pStyle w:val="Tablecentre"/>
            </w:pPr>
            <w:r w:rsidRPr="00E3788D">
              <w:t>Outputs*</w:t>
            </w:r>
          </w:p>
        </w:tc>
        <w:tc>
          <w:tcPr>
            <w:tcW w:w="1134" w:type="dxa"/>
            <w:vMerge w:val="restart"/>
          </w:tcPr>
          <w:p w14:paraId="7CCF68F3" w14:textId="77777777" w:rsidR="001B3682" w:rsidRPr="00E3788D" w:rsidRDefault="001B3682" w:rsidP="00E3788D">
            <w:pPr>
              <w:pStyle w:val="Tablecentre"/>
            </w:pPr>
            <w:r w:rsidRPr="00E3788D">
              <w:t>Deliverable format</w:t>
            </w:r>
          </w:p>
        </w:tc>
        <w:tc>
          <w:tcPr>
            <w:tcW w:w="1564" w:type="dxa"/>
            <w:gridSpan w:val="3"/>
            <w:tcBorders>
              <w:right w:val="dashed" w:sz="12" w:space="0" w:color="auto"/>
            </w:tcBorders>
          </w:tcPr>
          <w:p w14:paraId="1A033ECA" w14:textId="73A83726" w:rsidR="001B3682" w:rsidRPr="00B61C6C" w:rsidRDefault="001B3682" w:rsidP="006E578C">
            <w:pPr>
              <w:pStyle w:val="Tablecentre"/>
            </w:pPr>
            <w:r>
              <w:t>Phase I</w:t>
            </w:r>
          </w:p>
        </w:tc>
        <w:tc>
          <w:tcPr>
            <w:tcW w:w="3107" w:type="dxa"/>
            <w:gridSpan w:val="4"/>
            <w:tcBorders>
              <w:left w:val="dashed" w:sz="12" w:space="0" w:color="auto"/>
            </w:tcBorders>
          </w:tcPr>
          <w:p w14:paraId="3BFA3255" w14:textId="175890D6" w:rsidR="001B3682" w:rsidRPr="00B61C6C" w:rsidRDefault="001B3682" w:rsidP="006E578C">
            <w:pPr>
              <w:pStyle w:val="Tablecentre"/>
            </w:pPr>
            <w:r>
              <w:t>Phase II</w:t>
            </w:r>
          </w:p>
        </w:tc>
      </w:tr>
      <w:tr w:rsidR="006E578C" w:rsidRPr="00B61C6C" w14:paraId="2239C680" w14:textId="77777777" w:rsidTr="00652399">
        <w:tc>
          <w:tcPr>
            <w:tcW w:w="988" w:type="dxa"/>
            <w:vMerge/>
            <w:tcBorders>
              <w:bottom w:val="single" w:sz="12" w:space="0" w:color="auto"/>
            </w:tcBorders>
          </w:tcPr>
          <w:p w14:paraId="58C60A89" w14:textId="77777777" w:rsidR="006E578C" w:rsidRPr="00B61C6C" w:rsidRDefault="006E578C" w:rsidP="006E578C">
            <w:pPr>
              <w:pStyle w:val="Tablecentre"/>
            </w:pPr>
          </w:p>
        </w:tc>
        <w:tc>
          <w:tcPr>
            <w:tcW w:w="2126" w:type="dxa"/>
            <w:vMerge/>
            <w:tcBorders>
              <w:bottom w:val="single" w:sz="12" w:space="0" w:color="auto"/>
            </w:tcBorders>
          </w:tcPr>
          <w:p w14:paraId="408F197D" w14:textId="77777777" w:rsidR="006E578C" w:rsidRPr="00B61C6C" w:rsidRDefault="006E578C" w:rsidP="006E578C">
            <w:pPr>
              <w:pStyle w:val="Tablecentre"/>
              <w:rPr>
                <w:b/>
              </w:rPr>
            </w:pPr>
          </w:p>
        </w:tc>
        <w:tc>
          <w:tcPr>
            <w:tcW w:w="1134" w:type="dxa"/>
            <w:vMerge/>
            <w:tcBorders>
              <w:bottom w:val="single" w:sz="12" w:space="0" w:color="auto"/>
            </w:tcBorders>
          </w:tcPr>
          <w:p w14:paraId="4CD1A395" w14:textId="77777777" w:rsidR="006E578C" w:rsidRPr="00B61C6C" w:rsidRDefault="006E578C" w:rsidP="006E578C">
            <w:pPr>
              <w:pStyle w:val="Tablecentre"/>
            </w:pPr>
          </w:p>
        </w:tc>
        <w:tc>
          <w:tcPr>
            <w:tcW w:w="778" w:type="dxa"/>
            <w:tcBorders>
              <w:bottom w:val="single" w:sz="12" w:space="0" w:color="auto"/>
            </w:tcBorders>
          </w:tcPr>
          <w:p w14:paraId="217D566F" w14:textId="77777777" w:rsidR="006E578C" w:rsidRPr="00B61C6C" w:rsidRDefault="006E578C" w:rsidP="006E578C">
            <w:pPr>
              <w:pStyle w:val="Tablecentre"/>
            </w:pPr>
            <w:r w:rsidRPr="00B61C6C">
              <w:t>Q</w:t>
            </w:r>
            <w:r>
              <w:t>3</w:t>
            </w:r>
            <w:r w:rsidRPr="00B61C6C">
              <w:t xml:space="preserve"> 2017</w:t>
            </w:r>
          </w:p>
        </w:tc>
        <w:tc>
          <w:tcPr>
            <w:tcW w:w="779" w:type="dxa"/>
            <w:tcBorders>
              <w:bottom w:val="single" w:sz="12" w:space="0" w:color="auto"/>
              <w:right w:val="dashed" w:sz="12" w:space="0" w:color="auto"/>
            </w:tcBorders>
          </w:tcPr>
          <w:p w14:paraId="6069A8DA" w14:textId="77777777" w:rsidR="006E578C" w:rsidRPr="00B61C6C" w:rsidRDefault="006E578C" w:rsidP="006E578C">
            <w:pPr>
              <w:pStyle w:val="Tablecentre"/>
            </w:pPr>
            <w:r w:rsidRPr="00B61C6C">
              <w:t>Q</w:t>
            </w:r>
            <w:r>
              <w:t>4</w:t>
            </w:r>
            <w:r w:rsidRPr="00B61C6C">
              <w:t xml:space="preserve"> 2017</w:t>
            </w:r>
          </w:p>
        </w:tc>
        <w:tc>
          <w:tcPr>
            <w:tcW w:w="778" w:type="dxa"/>
            <w:gridSpan w:val="2"/>
            <w:tcBorders>
              <w:left w:val="dashed" w:sz="12" w:space="0" w:color="auto"/>
              <w:bottom w:val="single" w:sz="12" w:space="0" w:color="auto"/>
            </w:tcBorders>
          </w:tcPr>
          <w:p w14:paraId="507FACCE" w14:textId="77777777" w:rsidR="006E578C" w:rsidRPr="00B61C6C" w:rsidRDefault="006E578C" w:rsidP="006E578C">
            <w:pPr>
              <w:pStyle w:val="Tablecentre"/>
            </w:pPr>
            <w:r w:rsidRPr="00B61C6C">
              <w:t>Q</w:t>
            </w:r>
            <w:r>
              <w:t>1</w:t>
            </w:r>
            <w:r w:rsidRPr="00B61C6C">
              <w:t xml:space="preserve"> 201</w:t>
            </w:r>
            <w:r>
              <w:t>8</w:t>
            </w:r>
          </w:p>
        </w:tc>
        <w:tc>
          <w:tcPr>
            <w:tcW w:w="779" w:type="dxa"/>
            <w:tcBorders>
              <w:bottom w:val="single" w:sz="12" w:space="0" w:color="auto"/>
            </w:tcBorders>
          </w:tcPr>
          <w:p w14:paraId="4D152D1B" w14:textId="77777777" w:rsidR="006E578C" w:rsidRPr="00B61C6C" w:rsidRDefault="006E578C" w:rsidP="006E578C">
            <w:pPr>
              <w:pStyle w:val="Tablecentre"/>
            </w:pPr>
            <w:r w:rsidRPr="00B61C6C">
              <w:t>Q</w:t>
            </w:r>
            <w:r>
              <w:t>2</w:t>
            </w:r>
            <w:r w:rsidRPr="00B61C6C">
              <w:t xml:space="preserve"> 2018</w:t>
            </w:r>
          </w:p>
        </w:tc>
        <w:tc>
          <w:tcPr>
            <w:tcW w:w="778" w:type="dxa"/>
            <w:tcBorders>
              <w:bottom w:val="single" w:sz="12" w:space="0" w:color="auto"/>
            </w:tcBorders>
          </w:tcPr>
          <w:p w14:paraId="40704F95" w14:textId="77777777" w:rsidR="006E578C" w:rsidRPr="00B61C6C" w:rsidRDefault="006E578C" w:rsidP="006E578C">
            <w:pPr>
              <w:pStyle w:val="Tablecentre"/>
            </w:pPr>
            <w:r w:rsidRPr="00B61C6C">
              <w:t>Q</w:t>
            </w:r>
            <w:r>
              <w:t>3</w:t>
            </w:r>
            <w:r w:rsidRPr="00B61C6C">
              <w:t xml:space="preserve"> 2018</w:t>
            </w:r>
          </w:p>
        </w:tc>
        <w:tc>
          <w:tcPr>
            <w:tcW w:w="779" w:type="dxa"/>
            <w:tcBorders>
              <w:bottom w:val="single" w:sz="12" w:space="0" w:color="auto"/>
            </w:tcBorders>
          </w:tcPr>
          <w:p w14:paraId="2FA9DAC0" w14:textId="77777777" w:rsidR="006E578C" w:rsidRPr="00B61C6C" w:rsidRDefault="006E578C" w:rsidP="006E578C">
            <w:pPr>
              <w:pStyle w:val="Tablecentre"/>
            </w:pPr>
            <w:r w:rsidRPr="00B61C6C">
              <w:t>Q</w:t>
            </w:r>
            <w:r>
              <w:t>4</w:t>
            </w:r>
            <w:r w:rsidRPr="00B61C6C">
              <w:t xml:space="preserve"> 2018</w:t>
            </w:r>
          </w:p>
        </w:tc>
      </w:tr>
      <w:tr w:rsidR="006E578C" w:rsidRPr="00B61C6C" w14:paraId="04917211" w14:textId="77777777" w:rsidTr="00652399">
        <w:trPr>
          <w:trHeight w:val="454"/>
        </w:trPr>
        <w:tc>
          <w:tcPr>
            <w:tcW w:w="988" w:type="dxa"/>
            <w:tcBorders>
              <w:top w:val="single" w:sz="12" w:space="0" w:color="auto"/>
            </w:tcBorders>
            <w:vAlign w:val="center"/>
          </w:tcPr>
          <w:p w14:paraId="1D80F2AC" w14:textId="77777777" w:rsidR="006E578C" w:rsidRPr="00B61C6C" w:rsidRDefault="006E578C" w:rsidP="006E578C">
            <w:pPr>
              <w:pStyle w:val="Tablecentre"/>
            </w:pPr>
            <w:r>
              <w:t>A</w:t>
            </w:r>
            <w:r w:rsidRPr="00B61C6C">
              <w:t>1</w:t>
            </w:r>
          </w:p>
        </w:tc>
        <w:tc>
          <w:tcPr>
            <w:tcW w:w="2126" w:type="dxa"/>
            <w:tcBorders>
              <w:top w:val="single" w:sz="12" w:space="0" w:color="auto"/>
            </w:tcBorders>
            <w:vAlign w:val="center"/>
          </w:tcPr>
          <w:p w14:paraId="76EA5F9C" w14:textId="77777777" w:rsidR="006E578C" w:rsidRPr="00B61C6C" w:rsidRDefault="006E578C" w:rsidP="006E578C">
            <w:pPr>
              <w:pStyle w:val="Tableleft"/>
            </w:pPr>
            <w:r>
              <w:t>Selection of  three case studies</w:t>
            </w:r>
          </w:p>
        </w:tc>
        <w:tc>
          <w:tcPr>
            <w:tcW w:w="1134" w:type="dxa"/>
            <w:tcBorders>
              <w:top w:val="single" w:sz="12" w:space="0" w:color="auto"/>
            </w:tcBorders>
            <w:vAlign w:val="center"/>
          </w:tcPr>
          <w:p w14:paraId="1862ED8B" w14:textId="77777777" w:rsidR="006E578C" w:rsidRPr="002135D8" w:rsidRDefault="006E578C" w:rsidP="006E578C">
            <w:pPr>
              <w:pStyle w:val="Tableleft"/>
            </w:pPr>
            <w:r>
              <w:t>Report</w:t>
            </w:r>
          </w:p>
        </w:tc>
        <w:tc>
          <w:tcPr>
            <w:tcW w:w="778" w:type="dxa"/>
            <w:tcBorders>
              <w:top w:val="single" w:sz="12" w:space="0" w:color="auto"/>
            </w:tcBorders>
            <w:shd w:val="clear" w:color="auto" w:fill="D9D9D9" w:themeFill="background1" w:themeFillShade="D9"/>
            <w:vAlign w:val="center"/>
          </w:tcPr>
          <w:p w14:paraId="263FA95E" w14:textId="5CCEFC9B" w:rsidR="006E578C" w:rsidRPr="00B61C6C" w:rsidRDefault="006E578C" w:rsidP="006E578C">
            <w:pPr>
              <w:pStyle w:val="Tablecentre"/>
            </w:pPr>
          </w:p>
        </w:tc>
        <w:tc>
          <w:tcPr>
            <w:tcW w:w="779" w:type="dxa"/>
            <w:tcBorders>
              <w:top w:val="single" w:sz="12" w:space="0" w:color="auto"/>
              <w:right w:val="dashed" w:sz="12" w:space="0" w:color="auto"/>
            </w:tcBorders>
            <w:vAlign w:val="center"/>
          </w:tcPr>
          <w:p w14:paraId="735133A4" w14:textId="77777777" w:rsidR="006E578C" w:rsidRPr="00B61C6C" w:rsidRDefault="006E578C" w:rsidP="006E578C">
            <w:pPr>
              <w:pStyle w:val="Tablecentre"/>
            </w:pPr>
          </w:p>
        </w:tc>
        <w:tc>
          <w:tcPr>
            <w:tcW w:w="778" w:type="dxa"/>
            <w:gridSpan w:val="2"/>
            <w:tcBorders>
              <w:top w:val="single" w:sz="12" w:space="0" w:color="auto"/>
              <w:left w:val="dashed" w:sz="12" w:space="0" w:color="auto"/>
            </w:tcBorders>
            <w:vAlign w:val="center"/>
          </w:tcPr>
          <w:p w14:paraId="0D371923" w14:textId="77777777" w:rsidR="006E578C" w:rsidRPr="00B61C6C" w:rsidRDefault="006E578C" w:rsidP="006E578C">
            <w:pPr>
              <w:pStyle w:val="Tablecentre"/>
            </w:pPr>
          </w:p>
        </w:tc>
        <w:tc>
          <w:tcPr>
            <w:tcW w:w="779" w:type="dxa"/>
            <w:tcBorders>
              <w:top w:val="single" w:sz="12" w:space="0" w:color="auto"/>
            </w:tcBorders>
            <w:vAlign w:val="center"/>
          </w:tcPr>
          <w:p w14:paraId="15CBFF40" w14:textId="77777777" w:rsidR="006E578C" w:rsidRPr="00B61C6C" w:rsidRDefault="006E578C" w:rsidP="006E578C">
            <w:pPr>
              <w:pStyle w:val="Tablecentre"/>
            </w:pPr>
          </w:p>
        </w:tc>
        <w:tc>
          <w:tcPr>
            <w:tcW w:w="778" w:type="dxa"/>
            <w:tcBorders>
              <w:top w:val="single" w:sz="12" w:space="0" w:color="auto"/>
            </w:tcBorders>
            <w:vAlign w:val="center"/>
          </w:tcPr>
          <w:p w14:paraId="4E0C022E" w14:textId="77777777" w:rsidR="006E578C" w:rsidRPr="00B61C6C" w:rsidRDefault="006E578C" w:rsidP="006E578C">
            <w:pPr>
              <w:pStyle w:val="Tablecentre"/>
            </w:pPr>
          </w:p>
        </w:tc>
        <w:tc>
          <w:tcPr>
            <w:tcW w:w="779" w:type="dxa"/>
            <w:tcBorders>
              <w:top w:val="single" w:sz="12" w:space="0" w:color="auto"/>
            </w:tcBorders>
            <w:vAlign w:val="center"/>
          </w:tcPr>
          <w:p w14:paraId="3DBC86F0" w14:textId="77777777" w:rsidR="006E578C" w:rsidRPr="00B61C6C" w:rsidRDefault="006E578C" w:rsidP="006E578C">
            <w:pPr>
              <w:pStyle w:val="Tablecentre"/>
            </w:pPr>
          </w:p>
        </w:tc>
      </w:tr>
      <w:tr w:rsidR="006E578C" w:rsidRPr="00B61C6C" w14:paraId="4DF9BB03" w14:textId="77777777" w:rsidTr="00652399">
        <w:trPr>
          <w:trHeight w:val="454"/>
        </w:trPr>
        <w:tc>
          <w:tcPr>
            <w:tcW w:w="988" w:type="dxa"/>
            <w:vAlign w:val="center"/>
          </w:tcPr>
          <w:p w14:paraId="5AD1B796" w14:textId="77777777" w:rsidR="006E578C" w:rsidRPr="00B61C6C" w:rsidRDefault="006E578C" w:rsidP="006E578C">
            <w:pPr>
              <w:pStyle w:val="Tablecentre"/>
            </w:pPr>
            <w:r>
              <w:t>A</w:t>
            </w:r>
            <w:r w:rsidRPr="00B61C6C">
              <w:t>2</w:t>
            </w:r>
          </w:p>
        </w:tc>
        <w:tc>
          <w:tcPr>
            <w:tcW w:w="2126" w:type="dxa"/>
            <w:vAlign w:val="center"/>
          </w:tcPr>
          <w:p w14:paraId="3A7CE549" w14:textId="77777777" w:rsidR="006E578C" w:rsidRPr="00B61C6C" w:rsidRDefault="006E578C" w:rsidP="006E578C">
            <w:pPr>
              <w:pStyle w:val="Tableleft"/>
            </w:pPr>
            <w:r>
              <w:t>Sampling framework</w:t>
            </w:r>
          </w:p>
        </w:tc>
        <w:tc>
          <w:tcPr>
            <w:tcW w:w="1134" w:type="dxa"/>
            <w:vAlign w:val="center"/>
          </w:tcPr>
          <w:p w14:paraId="6474FBA8" w14:textId="329BE32C" w:rsidR="006E578C" w:rsidRPr="002135D8" w:rsidRDefault="006E578C" w:rsidP="006E578C">
            <w:pPr>
              <w:pStyle w:val="Tableleft"/>
            </w:pPr>
            <w:r>
              <w:t>Report</w:t>
            </w:r>
          </w:p>
        </w:tc>
        <w:tc>
          <w:tcPr>
            <w:tcW w:w="778" w:type="dxa"/>
            <w:vAlign w:val="center"/>
          </w:tcPr>
          <w:p w14:paraId="76E74993" w14:textId="77777777" w:rsidR="006E578C" w:rsidRPr="00B61C6C" w:rsidRDefault="006E578C" w:rsidP="006E578C">
            <w:pPr>
              <w:pStyle w:val="Tablecentre"/>
            </w:pPr>
          </w:p>
        </w:tc>
        <w:tc>
          <w:tcPr>
            <w:tcW w:w="779" w:type="dxa"/>
            <w:tcBorders>
              <w:right w:val="dashed" w:sz="12" w:space="0" w:color="auto"/>
            </w:tcBorders>
            <w:shd w:val="clear" w:color="auto" w:fill="D9D9D9" w:themeFill="background1" w:themeFillShade="D9"/>
            <w:vAlign w:val="center"/>
          </w:tcPr>
          <w:p w14:paraId="21FE7BAC" w14:textId="0BBDB714" w:rsidR="006E578C" w:rsidRPr="00B61C6C" w:rsidRDefault="006E578C" w:rsidP="006E578C">
            <w:pPr>
              <w:pStyle w:val="Tablecentre"/>
            </w:pPr>
          </w:p>
        </w:tc>
        <w:tc>
          <w:tcPr>
            <w:tcW w:w="778" w:type="dxa"/>
            <w:gridSpan w:val="2"/>
            <w:tcBorders>
              <w:left w:val="dashed" w:sz="12" w:space="0" w:color="auto"/>
            </w:tcBorders>
            <w:vAlign w:val="center"/>
          </w:tcPr>
          <w:p w14:paraId="3ADB4549" w14:textId="77777777" w:rsidR="006E578C" w:rsidRPr="00B61C6C" w:rsidRDefault="006E578C" w:rsidP="006E578C">
            <w:pPr>
              <w:pStyle w:val="Tablecentre"/>
            </w:pPr>
          </w:p>
        </w:tc>
        <w:tc>
          <w:tcPr>
            <w:tcW w:w="779" w:type="dxa"/>
            <w:vAlign w:val="center"/>
          </w:tcPr>
          <w:p w14:paraId="08FDC628" w14:textId="77777777" w:rsidR="006E578C" w:rsidRPr="00B61C6C" w:rsidRDefault="006E578C" w:rsidP="006E578C">
            <w:pPr>
              <w:pStyle w:val="Tablecentre"/>
            </w:pPr>
          </w:p>
        </w:tc>
        <w:tc>
          <w:tcPr>
            <w:tcW w:w="778" w:type="dxa"/>
            <w:vAlign w:val="center"/>
          </w:tcPr>
          <w:p w14:paraId="0AA7AEB2" w14:textId="77777777" w:rsidR="006E578C" w:rsidRPr="00B61C6C" w:rsidRDefault="006E578C" w:rsidP="006E578C">
            <w:pPr>
              <w:pStyle w:val="Tablecentre"/>
            </w:pPr>
          </w:p>
        </w:tc>
        <w:tc>
          <w:tcPr>
            <w:tcW w:w="779" w:type="dxa"/>
            <w:vAlign w:val="center"/>
          </w:tcPr>
          <w:p w14:paraId="5DE5A50D" w14:textId="77777777" w:rsidR="006E578C" w:rsidRPr="00B61C6C" w:rsidRDefault="006E578C" w:rsidP="006E578C">
            <w:pPr>
              <w:pStyle w:val="Tablecentre"/>
            </w:pPr>
          </w:p>
        </w:tc>
      </w:tr>
      <w:tr w:rsidR="006E578C" w:rsidRPr="00B61C6C" w14:paraId="79567474" w14:textId="77777777" w:rsidTr="00652399">
        <w:trPr>
          <w:trHeight w:val="454"/>
        </w:trPr>
        <w:tc>
          <w:tcPr>
            <w:tcW w:w="988" w:type="dxa"/>
            <w:vAlign w:val="center"/>
          </w:tcPr>
          <w:p w14:paraId="00885363" w14:textId="77777777" w:rsidR="006E578C" w:rsidRPr="00B61C6C" w:rsidRDefault="006E578C" w:rsidP="006E578C">
            <w:pPr>
              <w:pStyle w:val="Tablecentre"/>
            </w:pPr>
            <w:r>
              <w:t>A3</w:t>
            </w:r>
          </w:p>
        </w:tc>
        <w:tc>
          <w:tcPr>
            <w:tcW w:w="2126" w:type="dxa"/>
            <w:vAlign w:val="center"/>
          </w:tcPr>
          <w:p w14:paraId="08F3A2A8" w14:textId="77777777" w:rsidR="006E578C" w:rsidRPr="00B61C6C" w:rsidRDefault="006E578C" w:rsidP="006E578C">
            <w:pPr>
              <w:pStyle w:val="Tableleft"/>
            </w:pPr>
            <w:r>
              <w:t>Development of methodological approach</w:t>
            </w:r>
          </w:p>
        </w:tc>
        <w:tc>
          <w:tcPr>
            <w:tcW w:w="1134" w:type="dxa"/>
            <w:vAlign w:val="center"/>
          </w:tcPr>
          <w:p w14:paraId="05B3C886" w14:textId="77777777" w:rsidR="006E578C" w:rsidRPr="002135D8" w:rsidRDefault="006E578C" w:rsidP="006E578C">
            <w:pPr>
              <w:pStyle w:val="Tableleft"/>
            </w:pPr>
            <w:r>
              <w:t>Report</w:t>
            </w:r>
          </w:p>
        </w:tc>
        <w:tc>
          <w:tcPr>
            <w:tcW w:w="778" w:type="dxa"/>
            <w:shd w:val="clear" w:color="auto" w:fill="D9D9D9" w:themeFill="background1" w:themeFillShade="D9"/>
            <w:vAlign w:val="center"/>
          </w:tcPr>
          <w:p w14:paraId="5D207237" w14:textId="1777EB41" w:rsidR="006E578C" w:rsidRPr="00B61C6C" w:rsidRDefault="006E578C" w:rsidP="006E578C">
            <w:pPr>
              <w:pStyle w:val="Tablecentre"/>
            </w:pPr>
          </w:p>
        </w:tc>
        <w:tc>
          <w:tcPr>
            <w:tcW w:w="779" w:type="dxa"/>
            <w:tcBorders>
              <w:right w:val="dashed" w:sz="12" w:space="0" w:color="auto"/>
            </w:tcBorders>
            <w:shd w:val="clear" w:color="auto" w:fill="D9D9D9" w:themeFill="background1" w:themeFillShade="D9"/>
            <w:vAlign w:val="center"/>
          </w:tcPr>
          <w:p w14:paraId="40CA8CA6" w14:textId="08253BE8" w:rsidR="006E578C" w:rsidRPr="00B61C6C" w:rsidRDefault="006E578C" w:rsidP="006E578C">
            <w:pPr>
              <w:pStyle w:val="Tablecentre"/>
            </w:pPr>
          </w:p>
        </w:tc>
        <w:tc>
          <w:tcPr>
            <w:tcW w:w="778" w:type="dxa"/>
            <w:gridSpan w:val="2"/>
            <w:tcBorders>
              <w:left w:val="dashed" w:sz="12" w:space="0" w:color="auto"/>
            </w:tcBorders>
            <w:vAlign w:val="center"/>
          </w:tcPr>
          <w:p w14:paraId="3582843D" w14:textId="77777777" w:rsidR="006E578C" w:rsidRDefault="006E578C" w:rsidP="006E578C">
            <w:pPr>
              <w:pStyle w:val="Tablecentre"/>
            </w:pPr>
          </w:p>
        </w:tc>
        <w:tc>
          <w:tcPr>
            <w:tcW w:w="779" w:type="dxa"/>
            <w:vAlign w:val="center"/>
          </w:tcPr>
          <w:p w14:paraId="6B17DA05" w14:textId="77777777" w:rsidR="006E578C" w:rsidRPr="00B61C6C" w:rsidRDefault="006E578C" w:rsidP="006E578C">
            <w:pPr>
              <w:pStyle w:val="Tablecentre"/>
            </w:pPr>
          </w:p>
        </w:tc>
        <w:tc>
          <w:tcPr>
            <w:tcW w:w="778" w:type="dxa"/>
            <w:vAlign w:val="center"/>
          </w:tcPr>
          <w:p w14:paraId="0D13E50F" w14:textId="77777777" w:rsidR="006E578C" w:rsidRPr="00B61C6C" w:rsidRDefault="006E578C" w:rsidP="006E578C">
            <w:pPr>
              <w:pStyle w:val="Tablecentre"/>
            </w:pPr>
          </w:p>
        </w:tc>
        <w:tc>
          <w:tcPr>
            <w:tcW w:w="779" w:type="dxa"/>
            <w:vAlign w:val="center"/>
          </w:tcPr>
          <w:p w14:paraId="4F473203" w14:textId="77777777" w:rsidR="006E578C" w:rsidRPr="00B61C6C" w:rsidRDefault="006E578C" w:rsidP="006E578C">
            <w:pPr>
              <w:pStyle w:val="Tablecentre"/>
            </w:pPr>
          </w:p>
        </w:tc>
      </w:tr>
      <w:tr w:rsidR="006E578C" w:rsidRPr="00B61C6C" w14:paraId="70EEAF67" w14:textId="77777777" w:rsidTr="00652399">
        <w:trPr>
          <w:trHeight w:val="454"/>
        </w:trPr>
        <w:tc>
          <w:tcPr>
            <w:tcW w:w="988" w:type="dxa"/>
            <w:vAlign w:val="center"/>
          </w:tcPr>
          <w:p w14:paraId="04BE7E68" w14:textId="77777777" w:rsidR="006E578C" w:rsidRDefault="006E578C" w:rsidP="006E578C">
            <w:pPr>
              <w:pStyle w:val="Tablecentre"/>
            </w:pPr>
            <w:r>
              <w:t>A4</w:t>
            </w:r>
          </w:p>
        </w:tc>
        <w:tc>
          <w:tcPr>
            <w:tcW w:w="2126" w:type="dxa"/>
            <w:vAlign w:val="center"/>
          </w:tcPr>
          <w:p w14:paraId="1B03FD6D" w14:textId="77777777" w:rsidR="006E578C" w:rsidRDefault="006E578C" w:rsidP="006E578C">
            <w:pPr>
              <w:pStyle w:val="Tableleft"/>
            </w:pPr>
            <w:r>
              <w:t>Data collection &amp; data cleaning</w:t>
            </w:r>
          </w:p>
        </w:tc>
        <w:tc>
          <w:tcPr>
            <w:tcW w:w="1134" w:type="dxa"/>
            <w:vAlign w:val="center"/>
          </w:tcPr>
          <w:p w14:paraId="031E076F" w14:textId="77777777" w:rsidR="006E578C" w:rsidRDefault="006E578C" w:rsidP="006E578C">
            <w:pPr>
              <w:pStyle w:val="Tableleft"/>
            </w:pPr>
            <w:r>
              <w:t>Database</w:t>
            </w:r>
          </w:p>
        </w:tc>
        <w:tc>
          <w:tcPr>
            <w:tcW w:w="778" w:type="dxa"/>
            <w:vAlign w:val="center"/>
          </w:tcPr>
          <w:p w14:paraId="320FCFB8" w14:textId="77777777" w:rsidR="006E578C" w:rsidRPr="00B61C6C" w:rsidRDefault="006E578C" w:rsidP="006E578C">
            <w:pPr>
              <w:pStyle w:val="Tablecentre"/>
            </w:pPr>
          </w:p>
        </w:tc>
        <w:tc>
          <w:tcPr>
            <w:tcW w:w="779" w:type="dxa"/>
            <w:tcBorders>
              <w:right w:val="dashed" w:sz="12" w:space="0" w:color="auto"/>
            </w:tcBorders>
            <w:vAlign w:val="center"/>
          </w:tcPr>
          <w:p w14:paraId="23A087A3" w14:textId="77777777" w:rsidR="006E578C" w:rsidRPr="00B61C6C" w:rsidRDefault="006E578C" w:rsidP="006E578C">
            <w:pPr>
              <w:pStyle w:val="Tablecentre"/>
            </w:pPr>
          </w:p>
        </w:tc>
        <w:tc>
          <w:tcPr>
            <w:tcW w:w="778" w:type="dxa"/>
            <w:gridSpan w:val="2"/>
            <w:tcBorders>
              <w:left w:val="dashed" w:sz="12" w:space="0" w:color="auto"/>
            </w:tcBorders>
            <w:shd w:val="clear" w:color="auto" w:fill="D9D9D9" w:themeFill="background1" w:themeFillShade="D9"/>
            <w:vAlign w:val="center"/>
          </w:tcPr>
          <w:p w14:paraId="60802EC3" w14:textId="1594C6A3" w:rsidR="006E578C" w:rsidRPr="00B61C6C" w:rsidRDefault="006E578C" w:rsidP="006E578C">
            <w:pPr>
              <w:pStyle w:val="Tablecentre"/>
            </w:pPr>
          </w:p>
        </w:tc>
        <w:tc>
          <w:tcPr>
            <w:tcW w:w="779" w:type="dxa"/>
            <w:shd w:val="clear" w:color="auto" w:fill="D9D9D9" w:themeFill="background1" w:themeFillShade="D9"/>
            <w:vAlign w:val="center"/>
          </w:tcPr>
          <w:p w14:paraId="308ED1AC" w14:textId="6E88EA63" w:rsidR="006E578C" w:rsidRDefault="006E578C" w:rsidP="006E578C">
            <w:pPr>
              <w:pStyle w:val="Tablecentre"/>
            </w:pPr>
          </w:p>
        </w:tc>
        <w:tc>
          <w:tcPr>
            <w:tcW w:w="778" w:type="dxa"/>
            <w:vAlign w:val="center"/>
          </w:tcPr>
          <w:p w14:paraId="720E7D5C" w14:textId="77777777" w:rsidR="006E578C" w:rsidRDefault="006E578C" w:rsidP="006E578C">
            <w:pPr>
              <w:pStyle w:val="Tablecentre"/>
            </w:pPr>
          </w:p>
        </w:tc>
        <w:tc>
          <w:tcPr>
            <w:tcW w:w="779" w:type="dxa"/>
            <w:vAlign w:val="center"/>
          </w:tcPr>
          <w:p w14:paraId="30EC365F" w14:textId="77777777" w:rsidR="006E578C" w:rsidRDefault="006E578C" w:rsidP="006E578C">
            <w:pPr>
              <w:pStyle w:val="Tablecentre"/>
            </w:pPr>
          </w:p>
        </w:tc>
      </w:tr>
      <w:tr w:rsidR="006E578C" w:rsidRPr="00B61C6C" w14:paraId="173C0F8D" w14:textId="77777777" w:rsidTr="00652399">
        <w:trPr>
          <w:trHeight w:val="454"/>
        </w:trPr>
        <w:tc>
          <w:tcPr>
            <w:tcW w:w="988" w:type="dxa"/>
            <w:vAlign w:val="center"/>
          </w:tcPr>
          <w:p w14:paraId="0FCBFAE8" w14:textId="77777777" w:rsidR="006E578C" w:rsidRPr="00B61C6C" w:rsidRDefault="006E578C" w:rsidP="006E578C">
            <w:pPr>
              <w:pStyle w:val="Tablecentre"/>
            </w:pPr>
            <w:r>
              <w:t>A5</w:t>
            </w:r>
          </w:p>
        </w:tc>
        <w:tc>
          <w:tcPr>
            <w:tcW w:w="2126" w:type="dxa"/>
            <w:vAlign w:val="center"/>
          </w:tcPr>
          <w:p w14:paraId="1F654CC2" w14:textId="2166EA54" w:rsidR="006E578C" w:rsidRPr="00B61C6C" w:rsidRDefault="006E578C" w:rsidP="006E578C">
            <w:pPr>
              <w:pStyle w:val="Tableleft"/>
            </w:pPr>
            <w:r>
              <w:t>Analysis and validation of case studies</w:t>
            </w:r>
          </w:p>
        </w:tc>
        <w:tc>
          <w:tcPr>
            <w:tcW w:w="1134" w:type="dxa"/>
            <w:vAlign w:val="center"/>
          </w:tcPr>
          <w:p w14:paraId="0C3E63FB" w14:textId="04384CBF" w:rsidR="006E578C" w:rsidRPr="002135D8" w:rsidRDefault="006E578C" w:rsidP="006E578C">
            <w:pPr>
              <w:pStyle w:val="Tableleft"/>
            </w:pPr>
            <w:r>
              <w:t>Report</w:t>
            </w:r>
          </w:p>
        </w:tc>
        <w:tc>
          <w:tcPr>
            <w:tcW w:w="778" w:type="dxa"/>
            <w:vAlign w:val="center"/>
          </w:tcPr>
          <w:p w14:paraId="508E3BD2" w14:textId="77777777" w:rsidR="006E578C" w:rsidRPr="00B61C6C" w:rsidRDefault="006E578C" w:rsidP="006E578C">
            <w:pPr>
              <w:pStyle w:val="Tablecentre"/>
            </w:pPr>
          </w:p>
        </w:tc>
        <w:tc>
          <w:tcPr>
            <w:tcW w:w="779" w:type="dxa"/>
            <w:tcBorders>
              <w:right w:val="dashed" w:sz="12" w:space="0" w:color="auto"/>
            </w:tcBorders>
            <w:vAlign w:val="center"/>
          </w:tcPr>
          <w:p w14:paraId="7B99C47F" w14:textId="77777777" w:rsidR="006E578C" w:rsidRPr="00B61C6C" w:rsidRDefault="006E578C" w:rsidP="006E578C">
            <w:pPr>
              <w:pStyle w:val="Tablecentre"/>
            </w:pPr>
          </w:p>
        </w:tc>
        <w:tc>
          <w:tcPr>
            <w:tcW w:w="778" w:type="dxa"/>
            <w:gridSpan w:val="2"/>
            <w:tcBorders>
              <w:left w:val="dashed" w:sz="12" w:space="0" w:color="auto"/>
            </w:tcBorders>
            <w:vAlign w:val="center"/>
          </w:tcPr>
          <w:p w14:paraId="55143AD7" w14:textId="77777777" w:rsidR="006E578C" w:rsidRPr="00B61C6C" w:rsidRDefault="006E578C" w:rsidP="006E578C">
            <w:pPr>
              <w:pStyle w:val="Tablecentre"/>
            </w:pPr>
          </w:p>
        </w:tc>
        <w:tc>
          <w:tcPr>
            <w:tcW w:w="779" w:type="dxa"/>
            <w:shd w:val="clear" w:color="auto" w:fill="D9D9D9" w:themeFill="background1" w:themeFillShade="D9"/>
            <w:vAlign w:val="center"/>
          </w:tcPr>
          <w:p w14:paraId="042229F1" w14:textId="7E051B16" w:rsidR="006E578C" w:rsidRPr="00B61C6C" w:rsidRDefault="006E578C" w:rsidP="006E578C">
            <w:pPr>
              <w:pStyle w:val="Tablecentre"/>
            </w:pPr>
          </w:p>
        </w:tc>
        <w:tc>
          <w:tcPr>
            <w:tcW w:w="778" w:type="dxa"/>
            <w:shd w:val="clear" w:color="auto" w:fill="D9D9D9" w:themeFill="background1" w:themeFillShade="D9"/>
            <w:vAlign w:val="center"/>
          </w:tcPr>
          <w:p w14:paraId="2DAFC23E" w14:textId="079519A2" w:rsidR="006E578C" w:rsidRPr="00B61C6C" w:rsidRDefault="006E578C" w:rsidP="006E578C">
            <w:pPr>
              <w:pStyle w:val="Tablecentre"/>
            </w:pPr>
          </w:p>
        </w:tc>
        <w:tc>
          <w:tcPr>
            <w:tcW w:w="779" w:type="dxa"/>
            <w:vAlign w:val="center"/>
          </w:tcPr>
          <w:p w14:paraId="4ABB8722" w14:textId="77777777" w:rsidR="006E578C" w:rsidRPr="00B61C6C" w:rsidRDefault="006E578C" w:rsidP="006E578C">
            <w:pPr>
              <w:pStyle w:val="Tablecentre"/>
            </w:pPr>
          </w:p>
        </w:tc>
      </w:tr>
      <w:tr w:rsidR="006E578C" w:rsidRPr="00B61C6C" w14:paraId="4BEF2F5C" w14:textId="77777777" w:rsidTr="00652399">
        <w:trPr>
          <w:trHeight w:val="454"/>
        </w:trPr>
        <w:tc>
          <w:tcPr>
            <w:tcW w:w="988" w:type="dxa"/>
            <w:tcBorders>
              <w:bottom w:val="single" w:sz="12" w:space="0" w:color="auto"/>
            </w:tcBorders>
            <w:vAlign w:val="center"/>
          </w:tcPr>
          <w:p w14:paraId="762D52C9" w14:textId="77777777" w:rsidR="006E578C" w:rsidRDefault="006E578C" w:rsidP="006E578C">
            <w:pPr>
              <w:pStyle w:val="Tablecentre"/>
            </w:pPr>
            <w:r>
              <w:t>A6</w:t>
            </w:r>
          </w:p>
        </w:tc>
        <w:tc>
          <w:tcPr>
            <w:tcW w:w="2126" w:type="dxa"/>
            <w:tcBorders>
              <w:bottom w:val="single" w:sz="12" w:space="0" w:color="auto"/>
            </w:tcBorders>
            <w:vAlign w:val="center"/>
          </w:tcPr>
          <w:p w14:paraId="43CDDC8F" w14:textId="77777777" w:rsidR="006E578C" w:rsidRDefault="006E578C" w:rsidP="006E578C">
            <w:pPr>
              <w:pStyle w:val="Tableleft"/>
            </w:pPr>
            <w:r>
              <w:t>Consultation &amp; dissemination of findings</w:t>
            </w:r>
          </w:p>
        </w:tc>
        <w:tc>
          <w:tcPr>
            <w:tcW w:w="1134" w:type="dxa"/>
            <w:tcBorders>
              <w:bottom w:val="single" w:sz="12" w:space="0" w:color="auto"/>
            </w:tcBorders>
            <w:vAlign w:val="center"/>
          </w:tcPr>
          <w:p w14:paraId="4B933762" w14:textId="77777777" w:rsidR="006E578C" w:rsidRDefault="006E578C" w:rsidP="006E578C">
            <w:pPr>
              <w:pStyle w:val="Tableleft"/>
            </w:pPr>
            <w:r>
              <w:t>Report</w:t>
            </w:r>
          </w:p>
        </w:tc>
        <w:tc>
          <w:tcPr>
            <w:tcW w:w="778" w:type="dxa"/>
            <w:tcBorders>
              <w:bottom w:val="single" w:sz="12" w:space="0" w:color="auto"/>
            </w:tcBorders>
            <w:vAlign w:val="center"/>
          </w:tcPr>
          <w:p w14:paraId="69C097D8" w14:textId="77777777" w:rsidR="006E578C" w:rsidRPr="00B61C6C" w:rsidRDefault="006E578C" w:rsidP="006E578C">
            <w:pPr>
              <w:pStyle w:val="Tablecentre"/>
            </w:pPr>
          </w:p>
        </w:tc>
        <w:tc>
          <w:tcPr>
            <w:tcW w:w="779" w:type="dxa"/>
            <w:tcBorders>
              <w:bottom w:val="single" w:sz="12" w:space="0" w:color="auto"/>
              <w:right w:val="dashed" w:sz="12" w:space="0" w:color="auto"/>
            </w:tcBorders>
            <w:vAlign w:val="center"/>
          </w:tcPr>
          <w:p w14:paraId="1C8E333B" w14:textId="77777777" w:rsidR="006E578C" w:rsidRPr="00B61C6C" w:rsidRDefault="006E578C" w:rsidP="006E578C">
            <w:pPr>
              <w:pStyle w:val="Tablecentre"/>
            </w:pPr>
          </w:p>
        </w:tc>
        <w:tc>
          <w:tcPr>
            <w:tcW w:w="778" w:type="dxa"/>
            <w:gridSpan w:val="2"/>
            <w:tcBorders>
              <w:left w:val="dashed" w:sz="12" w:space="0" w:color="auto"/>
              <w:bottom w:val="single" w:sz="12" w:space="0" w:color="auto"/>
            </w:tcBorders>
            <w:vAlign w:val="center"/>
          </w:tcPr>
          <w:p w14:paraId="16501848" w14:textId="77777777" w:rsidR="006E578C" w:rsidRPr="00B61C6C" w:rsidRDefault="006E578C" w:rsidP="006E578C">
            <w:pPr>
              <w:pStyle w:val="Tablecentre"/>
            </w:pPr>
          </w:p>
        </w:tc>
        <w:tc>
          <w:tcPr>
            <w:tcW w:w="779" w:type="dxa"/>
            <w:tcBorders>
              <w:bottom w:val="single" w:sz="12" w:space="0" w:color="auto"/>
            </w:tcBorders>
            <w:vAlign w:val="center"/>
          </w:tcPr>
          <w:p w14:paraId="19C03E54" w14:textId="77777777" w:rsidR="006E578C" w:rsidRDefault="006E578C" w:rsidP="006E578C">
            <w:pPr>
              <w:pStyle w:val="Tablecentre"/>
            </w:pPr>
          </w:p>
        </w:tc>
        <w:tc>
          <w:tcPr>
            <w:tcW w:w="778" w:type="dxa"/>
            <w:tcBorders>
              <w:bottom w:val="single" w:sz="12" w:space="0" w:color="auto"/>
            </w:tcBorders>
            <w:vAlign w:val="center"/>
          </w:tcPr>
          <w:p w14:paraId="7F23CA85" w14:textId="77777777" w:rsidR="006E578C" w:rsidRDefault="006E578C" w:rsidP="006E578C">
            <w:pPr>
              <w:pStyle w:val="Tablecentre"/>
            </w:pPr>
          </w:p>
        </w:tc>
        <w:tc>
          <w:tcPr>
            <w:tcW w:w="779" w:type="dxa"/>
            <w:tcBorders>
              <w:bottom w:val="single" w:sz="12" w:space="0" w:color="auto"/>
            </w:tcBorders>
            <w:shd w:val="clear" w:color="auto" w:fill="D9D9D9" w:themeFill="background1" w:themeFillShade="D9"/>
            <w:vAlign w:val="center"/>
          </w:tcPr>
          <w:p w14:paraId="1B1D3E63" w14:textId="24ED26E3" w:rsidR="006E578C" w:rsidRDefault="006E578C" w:rsidP="006E578C">
            <w:pPr>
              <w:pStyle w:val="Tablecentre"/>
            </w:pPr>
          </w:p>
        </w:tc>
      </w:tr>
    </w:tbl>
    <w:p w14:paraId="5887ACED" w14:textId="2B530C18" w:rsidR="006E578C" w:rsidRDefault="006E578C" w:rsidP="006E578C">
      <w:pPr>
        <w:pStyle w:val="Tablefootnote"/>
      </w:pPr>
      <w:r w:rsidRPr="00FD143E">
        <w:t>Note: Activities A1, A2, A3, A4, A5 and A6 correspond to the six activities described in detail in the proposed activities section</w:t>
      </w:r>
    </w:p>
    <w:p w14:paraId="0AB77ADB" w14:textId="77777777" w:rsidR="001B3682" w:rsidRDefault="001B3682" w:rsidP="006E578C">
      <w:pPr>
        <w:pStyle w:val="Tablefootnote"/>
      </w:pPr>
    </w:p>
    <w:p w14:paraId="1D61DF06" w14:textId="2841EAF7" w:rsidR="00D433A3" w:rsidRDefault="00D433A3" w:rsidP="004A3495">
      <w:pPr>
        <w:pStyle w:val="Heading2"/>
      </w:pPr>
      <w:r>
        <w:t>Budget</w:t>
      </w:r>
    </w:p>
    <w:p w14:paraId="4EB59C81" w14:textId="03DFC101" w:rsidR="00D433A3" w:rsidRPr="00D433A3" w:rsidRDefault="00D433A3" w:rsidP="00D433A3">
      <w:pPr>
        <w:pStyle w:val="BodyText"/>
      </w:pPr>
      <w:r>
        <w:t>See attached spread-sheet.</w:t>
      </w:r>
    </w:p>
    <w:p w14:paraId="0BD681BA" w14:textId="77777777" w:rsidR="00E3788D" w:rsidRPr="009E26C4" w:rsidRDefault="00E3788D" w:rsidP="004A3495">
      <w:pPr>
        <w:pStyle w:val="Heading2"/>
      </w:pPr>
      <w:r w:rsidRPr="009E26C4">
        <w:t>Contributors, roles and person months: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83"/>
        <w:gridCol w:w="2628"/>
        <w:gridCol w:w="637"/>
        <w:gridCol w:w="638"/>
        <w:gridCol w:w="638"/>
        <w:gridCol w:w="638"/>
        <w:gridCol w:w="638"/>
        <w:gridCol w:w="638"/>
        <w:gridCol w:w="544"/>
        <w:gridCol w:w="544"/>
      </w:tblGrid>
      <w:tr w:rsidR="00B35BF4" w:rsidRPr="00E3788D" w14:paraId="47F158D9" w14:textId="77777777" w:rsidTr="00B35BF4">
        <w:tc>
          <w:tcPr>
            <w:tcW w:w="1483" w:type="dxa"/>
            <w:vAlign w:val="center"/>
          </w:tcPr>
          <w:p w14:paraId="3F3B80AE" w14:textId="23A39F58" w:rsidR="00B35BF4" w:rsidRPr="00E3788D" w:rsidRDefault="00B35BF4" w:rsidP="00E3788D">
            <w:pPr>
              <w:pStyle w:val="Tableleft"/>
            </w:pPr>
            <w:r w:rsidRPr="00E3788D">
              <w:t>Contributor</w:t>
            </w:r>
          </w:p>
        </w:tc>
        <w:tc>
          <w:tcPr>
            <w:tcW w:w="2628" w:type="dxa"/>
            <w:tcBorders>
              <w:right w:val="single" w:sz="4" w:space="0" w:color="auto"/>
            </w:tcBorders>
            <w:vAlign w:val="center"/>
          </w:tcPr>
          <w:p w14:paraId="68C47152" w14:textId="6007C51D" w:rsidR="00B35BF4" w:rsidRPr="00E3788D" w:rsidRDefault="00B35BF4" w:rsidP="00E3788D">
            <w:pPr>
              <w:pStyle w:val="Tableleft"/>
            </w:pPr>
            <w:r w:rsidRPr="00E3788D">
              <w:t>Expertise</w:t>
            </w:r>
          </w:p>
        </w:tc>
        <w:tc>
          <w:tcPr>
            <w:tcW w:w="3827" w:type="dxa"/>
            <w:gridSpan w:val="6"/>
            <w:tcBorders>
              <w:left w:val="single" w:sz="4" w:space="0" w:color="auto"/>
              <w:right w:val="single" w:sz="4" w:space="0" w:color="auto"/>
            </w:tcBorders>
            <w:vAlign w:val="center"/>
          </w:tcPr>
          <w:p w14:paraId="3C306629" w14:textId="77777777" w:rsidR="00B35BF4" w:rsidRPr="00E3788D" w:rsidRDefault="00B35BF4" w:rsidP="00E3788D">
            <w:pPr>
              <w:pStyle w:val="Tablecentre"/>
            </w:pPr>
            <w:r w:rsidRPr="00E3788D">
              <w:t>Contribution to activities and outputs</w:t>
            </w:r>
          </w:p>
        </w:tc>
        <w:tc>
          <w:tcPr>
            <w:tcW w:w="1088" w:type="dxa"/>
            <w:gridSpan w:val="2"/>
            <w:tcBorders>
              <w:left w:val="single" w:sz="4" w:space="0" w:color="auto"/>
            </w:tcBorders>
            <w:vAlign w:val="center"/>
          </w:tcPr>
          <w:p w14:paraId="533C3606" w14:textId="12DBC49D" w:rsidR="00B35BF4" w:rsidRPr="00E3788D" w:rsidRDefault="00B35BF4" w:rsidP="00E3788D">
            <w:pPr>
              <w:pStyle w:val="Tablecentre"/>
            </w:pPr>
            <w:r>
              <w:t>FTE [%]</w:t>
            </w:r>
          </w:p>
        </w:tc>
      </w:tr>
      <w:tr w:rsidR="001B3682" w:rsidRPr="00E3788D" w14:paraId="56A373FB" w14:textId="77777777" w:rsidTr="00560E13">
        <w:tc>
          <w:tcPr>
            <w:tcW w:w="1483" w:type="dxa"/>
            <w:tcBorders>
              <w:bottom w:val="single" w:sz="12" w:space="0" w:color="auto"/>
            </w:tcBorders>
            <w:vAlign w:val="center"/>
          </w:tcPr>
          <w:p w14:paraId="10EA606A" w14:textId="73371814" w:rsidR="001B3682" w:rsidRPr="00E3788D" w:rsidRDefault="001B3682" w:rsidP="00E3788D">
            <w:pPr>
              <w:pStyle w:val="Tableleft"/>
            </w:pPr>
          </w:p>
        </w:tc>
        <w:tc>
          <w:tcPr>
            <w:tcW w:w="2628" w:type="dxa"/>
            <w:tcBorders>
              <w:bottom w:val="single" w:sz="12" w:space="0" w:color="auto"/>
              <w:right w:val="single" w:sz="4" w:space="0" w:color="auto"/>
            </w:tcBorders>
            <w:vAlign w:val="center"/>
          </w:tcPr>
          <w:p w14:paraId="0A818559" w14:textId="47108694" w:rsidR="001B3682" w:rsidRPr="00E3788D" w:rsidRDefault="001B3682" w:rsidP="00E3788D">
            <w:pPr>
              <w:pStyle w:val="Tableleft"/>
            </w:pPr>
            <w:r w:rsidRPr="00E3788D">
              <w:t>relative to Task</w:t>
            </w:r>
          </w:p>
        </w:tc>
        <w:tc>
          <w:tcPr>
            <w:tcW w:w="637" w:type="dxa"/>
            <w:tcBorders>
              <w:left w:val="single" w:sz="4" w:space="0" w:color="auto"/>
              <w:bottom w:val="single" w:sz="12" w:space="0" w:color="auto"/>
            </w:tcBorders>
            <w:vAlign w:val="center"/>
          </w:tcPr>
          <w:p w14:paraId="25E55BB5" w14:textId="77777777" w:rsidR="001B3682" w:rsidRPr="00E3788D" w:rsidRDefault="001B3682" w:rsidP="00E3788D">
            <w:pPr>
              <w:pStyle w:val="Tablecentre"/>
            </w:pPr>
            <w:r w:rsidRPr="00E3788D">
              <w:t>A1</w:t>
            </w:r>
          </w:p>
        </w:tc>
        <w:tc>
          <w:tcPr>
            <w:tcW w:w="638" w:type="dxa"/>
            <w:tcBorders>
              <w:bottom w:val="single" w:sz="12" w:space="0" w:color="auto"/>
            </w:tcBorders>
            <w:vAlign w:val="center"/>
          </w:tcPr>
          <w:p w14:paraId="6AFC0751" w14:textId="77777777" w:rsidR="001B3682" w:rsidRPr="00E3788D" w:rsidRDefault="001B3682" w:rsidP="00E3788D">
            <w:pPr>
              <w:pStyle w:val="Tablecentre"/>
            </w:pPr>
            <w:r w:rsidRPr="00E3788D">
              <w:t>A2</w:t>
            </w:r>
          </w:p>
        </w:tc>
        <w:tc>
          <w:tcPr>
            <w:tcW w:w="638" w:type="dxa"/>
            <w:tcBorders>
              <w:bottom w:val="single" w:sz="12" w:space="0" w:color="auto"/>
            </w:tcBorders>
            <w:vAlign w:val="center"/>
          </w:tcPr>
          <w:p w14:paraId="61B1A316" w14:textId="77777777" w:rsidR="001B3682" w:rsidRPr="00E3788D" w:rsidRDefault="001B3682" w:rsidP="00E3788D">
            <w:pPr>
              <w:pStyle w:val="Tablecentre"/>
            </w:pPr>
            <w:r w:rsidRPr="00E3788D">
              <w:t>A3</w:t>
            </w:r>
          </w:p>
        </w:tc>
        <w:tc>
          <w:tcPr>
            <w:tcW w:w="638" w:type="dxa"/>
            <w:tcBorders>
              <w:bottom w:val="single" w:sz="12" w:space="0" w:color="auto"/>
            </w:tcBorders>
            <w:vAlign w:val="center"/>
          </w:tcPr>
          <w:p w14:paraId="76CA7C26" w14:textId="77777777" w:rsidR="001B3682" w:rsidRPr="00E3788D" w:rsidRDefault="001B3682" w:rsidP="00E3788D">
            <w:pPr>
              <w:pStyle w:val="Tablecentre"/>
            </w:pPr>
            <w:r w:rsidRPr="00E3788D">
              <w:t>A4</w:t>
            </w:r>
          </w:p>
        </w:tc>
        <w:tc>
          <w:tcPr>
            <w:tcW w:w="638" w:type="dxa"/>
            <w:tcBorders>
              <w:bottom w:val="single" w:sz="12" w:space="0" w:color="auto"/>
            </w:tcBorders>
            <w:vAlign w:val="center"/>
          </w:tcPr>
          <w:p w14:paraId="5109B2FE" w14:textId="77777777" w:rsidR="001B3682" w:rsidRPr="00E3788D" w:rsidRDefault="001B3682" w:rsidP="00E3788D">
            <w:pPr>
              <w:pStyle w:val="Tablecentre"/>
            </w:pPr>
            <w:r w:rsidRPr="00E3788D">
              <w:t>A5</w:t>
            </w:r>
          </w:p>
        </w:tc>
        <w:tc>
          <w:tcPr>
            <w:tcW w:w="638" w:type="dxa"/>
            <w:tcBorders>
              <w:bottom w:val="single" w:sz="12" w:space="0" w:color="auto"/>
              <w:right w:val="single" w:sz="4" w:space="0" w:color="auto"/>
            </w:tcBorders>
            <w:vAlign w:val="center"/>
          </w:tcPr>
          <w:p w14:paraId="7C249768" w14:textId="77777777" w:rsidR="001B3682" w:rsidRPr="00E3788D" w:rsidRDefault="001B3682" w:rsidP="00E3788D">
            <w:pPr>
              <w:pStyle w:val="Tablecentre"/>
            </w:pPr>
            <w:r w:rsidRPr="00E3788D">
              <w:t>A6</w:t>
            </w:r>
          </w:p>
        </w:tc>
        <w:tc>
          <w:tcPr>
            <w:tcW w:w="544" w:type="dxa"/>
            <w:tcBorders>
              <w:left w:val="single" w:sz="4" w:space="0" w:color="auto"/>
              <w:bottom w:val="single" w:sz="12" w:space="0" w:color="auto"/>
            </w:tcBorders>
            <w:vAlign w:val="center"/>
          </w:tcPr>
          <w:p w14:paraId="4F745DC0" w14:textId="232E3209" w:rsidR="001B3682" w:rsidRPr="00E3788D" w:rsidRDefault="001B3682" w:rsidP="00E3788D">
            <w:pPr>
              <w:pStyle w:val="Tablecentre"/>
            </w:pPr>
            <w:proofErr w:type="spellStart"/>
            <w:r>
              <w:t>Ph</w:t>
            </w:r>
            <w:proofErr w:type="spellEnd"/>
            <w:r>
              <w:t xml:space="preserve"> I</w:t>
            </w:r>
          </w:p>
        </w:tc>
        <w:tc>
          <w:tcPr>
            <w:tcW w:w="544" w:type="dxa"/>
            <w:tcBorders>
              <w:bottom w:val="single" w:sz="12" w:space="0" w:color="auto"/>
            </w:tcBorders>
            <w:vAlign w:val="center"/>
          </w:tcPr>
          <w:p w14:paraId="22D16885" w14:textId="3E423CF7" w:rsidR="001B3682" w:rsidRPr="00E3788D" w:rsidRDefault="001B3682" w:rsidP="00E3788D">
            <w:pPr>
              <w:pStyle w:val="Tablecentre"/>
            </w:pPr>
            <w:proofErr w:type="spellStart"/>
            <w:r>
              <w:t>Ph</w:t>
            </w:r>
            <w:proofErr w:type="spellEnd"/>
            <w:r>
              <w:t xml:space="preserve"> II</w:t>
            </w:r>
          </w:p>
        </w:tc>
      </w:tr>
      <w:tr w:rsidR="00B35BF4" w:rsidRPr="00E3788D" w14:paraId="4730F923" w14:textId="77777777" w:rsidTr="00D55CCC">
        <w:tc>
          <w:tcPr>
            <w:tcW w:w="1483" w:type="dxa"/>
            <w:tcBorders>
              <w:top w:val="single" w:sz="12" w:space="0" w:color="auto"/>
            </w:tcBorders>
            <w:vAlign w:val="center"/>
          </w:tcPr>
          <w:p w14:paraId="57A550D4" w14:textId="373717E4" w:rsidR="00B35BF4" w:rsidRPr="00E3788D" w:rsidRDefault="00B47602" w:rsidP="00B35BF4">
            <w:pPr>
              <w:pStyle w:val="Tableleft"/>
            </w:pPr>
            <w:r>
              <w:t>Ricardo* Labarta</w:t>
            </w:r>
            <w:r w:rsidR="00B35BF4" w:rsidRPr="00E3788D">
              <w:t xml:space="preserve"> (CIAT)</w:t>
            </w:r>
          </w:p>
        </w:tc>
        <w:tc>
          <w:tcPr>
            <w:tcW w:w="2628" w:type="dxa"/>
            <w:tcBorders>
              <w:top w:val="single" w:sz="12" w:space="0" w:color="auto"/>
              <w:right w:val="single" w:sz="4" w:space="0" w:color="auto"/>
            </w:tcBorders>
            <w:vAlign w:val="center"/>
          </w:tcPr>
          <w:p w14:paraId="7C1ABD63" w14:textId="77777777" w:rsidR="00B35BF4" w:rsidRPr="00E3788D" w:rsidRDefault="00B35BF4" w:rsidP="00B35BF4">
            <w:pPr>
              <w:pStyle w:val="Tableleft"/>
            </w:pPr>
            <w:r w:rsidRPr="00E3788D">
              <w:t>Outcome and impact assessment</w:t>
            </w:r>
          </w:p>
        </w:tc>
        <w:tc>
          <w:tcPr>
            <w:tcW w:w="637" w:type="dxa"/>
            <w:tcBorders>
              <w:top w:val="single" w:sz="12" w:space="0" w:color="auto"/>
              <w:left w:val="single" w:sz="4" w:space="0" w:color="auto"/>
            </w:tcBorders>
            <w:shd w:val="clear" w:color="auto" w:fill="D9D9D9" w:themeFill="background1" w:themeFillShade="D9"/>
            <w:vAlign w:val="center"/>
          </w:tcPr>
          <w:p w14:paraId="28E08025" w14:textId="67512A5D" w:rsidR="00B35BF4" w:rsidRPr="00E3788D" w:rsidRDefault="00B35BF4" w:rsidP="00B35BF4">
            <w:pPr>
              <w:pStyle w:val="Tablecentre"/>
            </w:pPr>
          </w:p>
        </w:tc>
        <w:tc>
          <w:tcPr>
            <w:tcW w:w="638" w:type="dxa"/>
            <w:tcBorders>
              <w:top w:val="single" w:sz="12" w:space="0" w:color="auto"/>
            </w:tcBorders>
            <w:shd w:val="clear" w:color="auto" w:fill="D9D9D9" w:themeFill="background1" w:themeFillShade="D9"/>
            <w:vAlign w:val="center"/>
          </w:tcPr>
          <w:p w14:paraId="47A0C49D" w14:textId="3856719B" w:rsidR="00B35BF4" w:rsidRPr="00E3788D" w:rsidRDefault="00B35BF4" w:rsidP="00B35BF4">
            <w:pPr>
              <w:pStyle w:val="Tablecentre"/>
            </w:pPr>
          </w:p>
        </w:tc>
        <w:tc>
          <w:tcPr>
            <w:tcW w:w="638" w:type="dxa"/>
            <w:tcBorders>
              <w:top w:val="single" w:sz="12" w:space="0" w:color="auto"/>
            </w:tcBorders>
            <w:shd w:val="clear" w:color="auto" w:fill="D9D9D9" w:themeFill="background1" w:themeFillShade="D9"/>
            <w:vAlign w:val="center"/>
          </w:tcPr>
          <w:p w14:paraId="7DA38536" w14:textId="5CB8CB27" w:rsidR="00B35BF4" w:rsidRPr="00E3788D" w:rsidRDefault="00B35BF4" w:rsidP="00B35BF4">
            <w:pPr>
              <w:pStyle w:val="Tablecentre"/>
            </w:pPr>
          </w:p>
        </w:tc>
        <w:tc>
          <w:tcPr>
            <w:tcW w:w="638" w:type="dxa"/>
            <w:tcBorders>
              <w:top w:val="single" w:sz="12" w:space="0" w:color="auto"/>
            </w:tcBorders>
            <w:vAlign w:val="center"/>
          </w:tcPr>
          <w:p w14:paraId="053A6214" w14:textId="77777777" w:rsidR="00B35BF4" w:rsidRPr="00E3788D" w:rsidRDefault="00B35BF4" w:rsidP="00B35BF4">
            <w:pPr>
              <w:pStyle w:val="Tablecentre"/>
            </w:pPr>
          </w:p>
        </w:tc>
        <w:tc>
          <w:tcPr>
            <w:tcW w:w="638" w:type="dxa"/>
            <w:tcBorders>
              <w:top w:val="single" w:sz="12" w:space="0" w:color="auto"/>
            </w:tcBorders>
            <w:shd w:val="clear" w:color="auto" w:fill="D9D9D9" w:themeFill="background1" w:themeFillShade="D9"/>
            <w:vAlign w:val="center"/>
          </w:tcPr>
          <w:p w14:paraId="2BD15DAD" w14:textId="625B1EC8" w:rsidR="00B35BF4" w:rsidRPr="00E3788D" w:rsidRDefault="00B35BF4" w:rsidP="00B35BF4">
            <w:pPr>
              <w:pStyle w:val="Tablecentre"/>
            </w:pPr>
          </w:p>
        </w:tc>
        <w:tc>
          <w:tcPr>
            <w:tcW w:w="638" w:type="dxa"/>
            <w:tcBorders>
              <w:top w:val="single" w:sz="12" w:space="0" w:color="auto"/>
              <w:right w:val="single" w:sz="4" w:space="0" w:color="auto"/>
            </w:tcBorders>
            <w:shd w:val="clear" w:color="auto" w:fill="D9D9D9" w:themeFill="background1" w:themeFillShade="D9"/>
            <w:vAlign w:val="center"/>
          </w:tcPr>
          <w:p w14:paraId="1A038978" w14:textId="36E3F5D8" w:rsidR="00B35BF4" w:rsidRPr="00E3788D" w:rsidRDefault="00B35BF4" w:rsidP="00B35BF4">
            <w:pPr>
              <w:pStyle w:val="Tablecentre"/>
            </w:pPr>
          </w:p>
        </w:tc>
        <w:tc>
          <w:tcPr>
            <w:tcW w:w="544" w:type="dxa"/>
            <w:tcBorders>
              <w:top w:val="single" w:sz="12" w:space="0" w:color="auto"/>
              <w:left w:val="single" w:sz="4" w:space="0" w:color="auto"/>
            </w:tcBorders>
            <w:vAlign w:val="center"/>
          </w:tcPr>
          <w:p w14:paraId="3673C3BE" w14:textId="3EE18CDA" w:rsidR="00B35BF4" w:rsidRPr="00560E13" w:rsidRDefault="00126B26" w:rsidP="00B35BF4">
            <w:pPr>
              <w:pStyle w:val="Tableleft"/>
              <w:jc w:val="center"/>
              <w:rPr>
                <w:vertAlign w:val="superscript"/>
              </w:rPr>
            </w:pPr>
            <w:r>
              <w:t>(</w:t>
            </w:r>
            <w:r w:rsidR="00B35BF4" w:rsidRPr="001B3682">
              <w:t>5</w:t>
            </w:r>
            <w:r>
              <w:t>)</w:t>
            </w:r>
            <w:r>
              <w:rPr>
                <w:vertAlign w:val="superscript"/>
              </w:rPr>
              <w:t>1</w:t>
            </w:r>
          </w:p>
        </w:tc>
        <w:tc>
          <w:tcPr>
            <w:tcW w:w="544" w:type="dxa"/>
            <w:tcBorders>
              <w:top w:val="single" w:sz="12" w:space="0" w:color="auto"/>
            </w:tcBorders>
            <w:vAlign w:val="center"/>
          </w:tcPr>
          <w:p w14:paraId="14BD8F59" w14:textId="579C5540" w:rsidR="00B35BF4" w:rsidRPr="00E3788D" w:rsidRDefault="00126B26" w:rsidP="00B35BF4">
            <w:pPr>
              <w:pStyle w:val="Tableleft"/>
              <w:jc w:val="center"/>
            </w:pPr>
            <w:r>
              <w:t>(</w:t>
            </w:r>
            <w:r w:rsidR="00B47602">
              <w:t>5</w:t>
            </w:r>
            <w:r>
              <w:t>)</w:t>
            </w:r>
          </w:p>
        </w:tc>
      </w:tr>
      <w:tr w:rsidR="00B47602" w:rsidRPr="00E3788D" w14:paraId="2D07ADEE" w14:textId="77777777" w:rsidTr="00560E13">
        <w:tc>
          <w:tcPr>
            <w:tcW w:w="1483" w:type="dxa"/>
            <w:vAlign w:val="center"/>
          </w:tcPr>
          <w:p w14:paraId="0C1C1368" w14:textId="7EE1EF2F" w:rsidR="00B47602" w:rsidRPr="00E3788D" w:rsidRDefault="00126B26" w:rsidP="00B35BF4">
            <w:pPr>
              <w:pStyle w:val="Tableleft"/>
            </w:pPr>
            <w:r w:rsidRPr="00E3788D">
              <w:t>Byron Reyes (CIAT)</w:t>
            </w:r>
          </w:p>
        </w:tc>
        <w:tc>
          <w:tcPr>
            <w:tcW w:w="2628" w:type="dxa"/>
            <w:tcBorders>
              <w:right w:val="single" w:sz="4" w:space="0" w:color="auto"/>
            </w:tcBorders>
            <w:vAlign w:val="center"/>
          </w:tcPr>
          <w:p w14:paraId="2C213069" w14:textId="1EA5BA9C" w:rsidR="00B47602" w:rsidRPr="00E3788D" w:rsidRDefault="00B47602" w:rsidP="00B35BF4">
            <w:pPr>
              <w:pStyle w:val="Tableleft"/>
            </w:pPr>
            <w:r w:rsidRPr="00E3788D">
              <w:t>Outcome and impact assessment</w:t>
            </w:r>
          </w:p>
        </w:tc>
        <w:tc>
          <w:tcPr>
            <w:tcW w:w="637" w:type="dxa"/>
            <w:tcBorders>
              <w:left w:val="single" w:sz="4" w:space="0" w:color="auto"/>
            </w:tcBorders>
            <w:shd w:val="clear" w:color="auto" w:fill="D9D9D9" w:themeFill="background1" w:themeFillShade="D9"/>
            <w:vAlign w:val="center"/>
          </w:tcPr>
          <w:p w14:paraId="104AE565" w14:textId="77777777" w:rsidR="00B47602" w:rsidRPr="00E3788D" w:rsidRDefault="00B47602" w:rsidP="00B35BF4">
            <w:pPr>
              <w:pStyle w:val="Tablecentre"/>
            </w:pPr>
          </w:p>
        </w:tc>
        <w:tc>
          <w:tcPr>
            <w:tcW w:w="638" w:type="dxa"/>
            <w:shd w:val="clear" w:color="auto" w:fill="D9D9D9" w:themeFill="background1" w:themeFillShade="D9"/>
            <w:vAlign w:val="center"/>
          </w:tcPr>
          <w:p w14:paraId="244EFE7A" w14:textId="77777777" w:rsidR="00B47602" w:rsidRPr="00E3788D" w:rsidRDefault="00B47602" w:rsidP="00B35BF4">
            <w:pPr>
              <w:pStyle w:val="Tablecentre"/>
            </w:pPr>
          </w:p>
        </w:tc>
        <w:tc>
          <w:tcPr>
            <w:tcW w:w="638" w:type="dxa"/>
            <w:shd w:val="clear" w:color="auto" w:fill="D9D9D9" w:themeFill="background1" w:themeFillShade="D9"/>
            <w:vAlign w:val="center"/>
          </w:tcPr>
          <w:p w14:paraId="05855D4C" w14:textId="77777777" w:rsidR="00B47602" w:rsidRPr="00E3788D" w:rsidRDefault="00B47602" w:rsidP="00B35BF4">
            <w:pPr>
              <w:pStyle w:val="Tablecentre"/>
            </w:pPr>
          </w:p>
        </w:tc>
        <w:tc>
          <w:tcPr>
            <w:tcW w:w="638" w:type="dxa"/>
            <w:vAlign w:val="center"/>
          </w:tcPr>
          <w:p w14:paraId="6858F151" w14:textId="77777777" w:rsidR="00B47602" w:rsidRPr="00E3788D" w:rsidRDefault="00B47602" w:rsidP="00B35BF4">
            <w:pPr>
              <w:pStyle w:val="Tablecentre"/>
            </w:pPr>
          </w:p>
        </w:tc>
        <w:tc>
          <w:tcPr>
            <w:tcW w:w="638" w:type="dxa"/>
            <w:shd w:val="clear" w:color="auto" w:fill="D9D9D9" w:themeFill="background1" w:themeFillShade="D9"/>
            <w:vAlign w:val="center"/>
          </w:tcPr>
          <w:p w14:paraId="372E9FEC" w14:textId="77777777" w:rsidR="00B47602" w:rsidRPr="00E3788D" w:rsidRDefault="00B47602" w:rsidP="00B35BF4">
            <w:pPr>
              <w:pStyle w:val="Tablecentre"/>
            </w:pPr>
          </w:p>
        </w:tc>
        <w:tc>
          <w:tcPr>
            <w:tcW w:w="638" w:type="dxa"/>
            <w:tcBorders>
              <w:right w:val="single" w:sz="4" w:space="0" w:color="auto"/>
            </w:tcBorders>
            <w:shd w:val="clear" w:color="auto" w:fill="D9D9D9" w:themeFill="background1" w:themeFillShade="D9"/>
            <w:vAlign w:val="center"/>
          </w:tcPr>
          <w:p w14:paraId="12B9DF01" w14:textId="77777777" w:rsidR="00B47602" w:rsidRPr="00E3788D" w:rsidRDefault="00B47602" w:rsidP="00B35BF4">
            <w:pPr>
              <w:pStyle w:val="Tablecentre"/>
            </w:pPr>
          </w:p>
        </w:tc>
        <w:tc>
          <w:tcPr>
            <w:tcW w:w="544" w:type="dxa"/>
            <w:tcBorders>
              <w:left w:val="single" w:sz="4" w:space="0" w:color="auto"/>
            </w:tcBorders>
            <w:vAlign w:val="center"/>
          </w:tcPr>
          <w:p w14:paraId="7FACDAAA" w14:textId="316DBFF3" w:rsidR="00B47602" w:rsidRPr="001B3682" w:rsidRDefault="00B47602" w:rsidP="00B35BF4">
            <w:pPr>
              <w:pStyle w:val="Tableleft"/>
              <w:jc w:val="center"/>
            </w:pPr>
            <w:r>
              <w:t>5</w:t>
            </w:r>
          </w:p>
        </w:tc>
        <w:tc>
          <w:tcPr>
            <w:tcW w:w="544" w:type="dxa"/>
            <w:vAlign w:val="center"/>
          </w:tcPr>
          <w:p w14:paraId="254D9988" w14:textId="5A69A05F" w:rsidR="00B47602" w:rsidRPr="00B35BF4" w:rsidRDefault="00B47602" w:rsidP="00B35BF4">
            <w:pPr>
              <w:pStyle w:val="Tableleft"/>
              <w:jc w:val="center"/>
            </w:pPr>
            <w:r>
              <w:t>10</w:t>
            </w:r>
          </w:p>
        </w:tc>
      </w:tr>
      <w:tr w:rsidR="00B35BF4" w:rsidRPr="00E3788D" w14:paraId="0EF0D005" w14:textId="77777777" w:rsidTr="00D55CCC">
        <w:tc>
          <w:tcPr>
            <w:tcW w:w="1483" w:type="dxa"/>
            <w:vAlign w:val="center"/>
          </w:tcPr>
          <w:p w14:paraId="1E2F66CD" w14:textId="63711401" w:rsidR="00B35BF4" w:rsidRPr="00E3788D" w:rsidRDefault="00B35BF4" w:rsidP="00B35BF4">
            <w:pPr>
              <w:pStyle w:val="Tableleft"/>
            </w:pPr>
            <w:r w:rsidRPr="00E3788D">
              <w:t>Stefan Burkart</w:t>
            </w:r>
            <w:r>
              <w:t xml:space="preserve"> </w:t>
            </w:r>
            <w:r w:rsidRPr="00E3788D">
              <w:t>(CIAT)</w:t>
            </w:r>
          </w:p>
        </w:tc>
        <w:tc>
          <w:tcPr>
            <w:tcW w:w="2628" w:type="dxa"/>
            <w:tcBorders>
              <w:right w:val="single" w:sz="4" w:space="0" w:color="auto"/>
            </w:tcBorders>
            <w:vAlign w:val="center"/>
          </w:tcPr>
          <w:p w14:paraId="1B879932" w14:textId="77777777" w:rsidR="00B35BF4" w:rsidRPr="00E3788D" w:rsidRDefault="00B35BF4" w:rsidP="00B35BF4">
            <w:pPr>
              <w:pStyle w:val="Tableleft"/>
            </w:pPr>
            <w:r w:rsidRPr="00E3788D">
              <w:t xml:space="preserve">Socioeconomic and value chain analysis </w:t>
            </w:r>
          </w:p>
        </w:tc>
        <w:tc>
          <w:tcPr>
            <w:tcW w:w="637" w:type="dxa"/>
            <w:tcBorders>
              <w:left w:val="single" w:sz="4" w:space="0" w:color="auto"/>
            </w:tcBorders>
            <w:shd w:val="clear" w:color="auto" w:fill="D9D9D9" w:themeFill="background1" w:themeFillShade="D9"/>
            <w:vAlign w:val="center"/>
          </w:tcPr>
          <w:p w14:paraId="3C0CDB05" w14:textId="14EE231C" w:rsidR="00B35BF4" w:rsidRPr="00E3788D" w:rsidRDefault="00B35BF4" w:rsidP="00B35BF4">
            <w:pPr>
              <w:pStyle w:val="Tablecentre"/>
            </w:pPr>
          </w:p>
        </w:tc>
        <w:tc>
          <w:tcPr>
            <w:tcW w:w="638" w:type="dxa"/>
            <w:vAlign w:val="center"/>
          </w:tcPr>
          <w:p w14:paraId="543B3013" w14:textId="77777777" w:rsidR="00B35BF4" w:rsidRPr="00E3788D" w:rsidRDefault="00B35BF4" w:rsidP="00B35BF4">
            <w:pPr>
              <w:pStyle w:val="Tablecentre"/>
            </w:pPr>
          </w:p>
        </w:tc>
        <w:tc>
          <w:tcPr>
            <w:tcW w:w="638" w:type="dxa"/>
            <w:shd w:val="clear" w:color="auto" w:fill="D9D9D9" w:themeFill="background1" w:themeFillShade="D9"/>
            <w:vAlign w:val="center"/>
          </w:tcPr>
          <w:p w14:paraId="7DB019E5" w14:textId="6CA51A48" w:rsidR="00B35BF4" w:rsidRPr="00E3788D" w:rsidRDefault="00B35BF4" w:rsidP="00B35BF4">
            <w:pPr>
              <w:pStyle w:val="Tablecentre"/>
            </w:pPr>
          </w:p>
        </w:tc>
        <w:tc>
          <w:tcPr>
            <w:tcW w:w="638" w:type="dxa"/>
            <w:vAlign w:val="center"/>
          </w:tcPr>
          <w:p w14:paraId="67DE73F4" w14:textId="77777777" w:rsidR="00B35BF4" w:rsidRPr="00E3788D" w:rsidRDefault="00B35BF4" w:rsidP="00B35BF4">
            <w:pPr>
              <w:pStyle w:val="Tablecentre"/>
            </w:pPr>
          </w:p>
        </w:tc>
        <w:tc>
          <w:tcPr>
            <w:tcW w:w="638" w:type="dxa"/>
            <w:shd w:val="clear" w:color="auto" w:fill="D9D9D9" w:themeFill="background1" w:themeFillShade="D9"/>
            <w:vAlign w:val="center"/>
          </w:tcPr>
          <w:p w14:paraId="5C134AF4" w14:textId="4F2F8243" w:rsidR="00B35BF4" w:rsidRPr="00E3788D" w:rsidRDefault="00B35BF4" w:rsidP="00B35BF4">
            <w:pPr>
              <w:pStyle w:val="Tablecentre"/>
            </w:pPr>
          </w:p>
        </w:tc>
        <w:tc>
          <w:tcPr>
            <w:tcW w:w="638" w:type="dxa"/>
            <w:tcBorders>
              <w:right w:val="single" w:sz="4" w:space="0" w:color="auto"/>
            </w:tcBorders>
            <w:shd w:val="clear" w:color="auto" w:fill="D9D9D9" w:themeFill="background1" w:themeFillShade="D9"/>
            <w:vAlign w:val="center"/>
          </w:tcPr>
          <w:p w14:paraId="6B2F6162" w14:textId="2FD31092" w:rsidR="00B35BF4" w:rsidRPr="00E3788D" w:rsidRDefault="00B35BF4" w:rsidP="00B35BF4">
            <w:pPr>
              <w:pStyle w:val="Tablecentre"/>
            </w:pPr>
          </w:p>
        </w:tc>
        <w:tc>
          <w:tcPr>
            <w:tcW w:w="544" w:type="dxa"/>
            <w:tcBorders>
              <w:left w:val="single" w:sz="4" w:space="0" w:color="auto"/>
            </w:tcBorders>
            <w:vAlign w:val="center"/>
          </w:tcPr>
          <w:p w14:paraId="6036AA1C" w14:textId="13B19573" w:rsidR="00B35BF4" w:rsidRPr="00E3788D" w:rsidRDefault="00B35BF4" w:rsidP="00B35BF4">
            <w:pPr>
              <w:pStyle w:val="Tableleft"/>
              <w:jc w:val="center"/>
            </w:pPr>
            <w:r w:rsidRPr="001B3682">
              <w:t>5</w:t>
            </w:r>
          </w:p>
        </w:tc>
        <w:tc>
          <w:tcPr>
            <w:tcW w:w="544" w:type="dxa"/>
            <w:vAlign w:val="center"/>
          </w:tcPr>
          <w:p w14:paraId="13B7D847" w14:textId="1EBF17AC" w:rsidR="00B35BF4" w:rsidRPr="00E3788D" w:rsidRDefault="00B35BF4" w:rsidP="00B35BF4">
            <w:pPr>
              <w:pStyle w:val="Tableleft"/>
              <w:jc w:val="center"/>
            </w:pPr>
            <w:r w:rsidRPr="00B35BF4">
              <w:t>10</w:t>
            </w:r>
          </w:p>
        </w:tc>
      </w:tr>
      <w:tr w:rsidR="00B35BF4" w:rsidRPr="00E3788D" w14:paraId="7205CA30" w14:textId="77777777" w:rsidTr="00802C7C">
        <w:tc>
          <w:tcPr>
            <w:tcW w:w="1483" w:type="dxa"/>
            <w:vAlign w:val="center"/>
          </w:tcPr>
          <w:p w14:paraId="68FF4966" w14:textId="7271D7B4" w:rsidR="00B35BF4" w:rsidRPr="00E3788D" w:rsidRDefault="00B35BF4" w:rsidP="00B35BF4">
            <w:pPr>
              <w:pStyle w:val="Tableleft"/>
            </w:pPr>
            <w:r>
              <w:t xml:space="preserve">Nils Teufel </w:t>
            </w:r>
            <w:r>
              <w:br/>
              <w:t>(ILRI)</w:t>
            </w:r>
          </w:p>
        </w:tc>
        <w:tc>
          <w:tcPr>
            <w:tcW w:w="2628" w:type="dxa"/>
            <w:tcBorders>
              <w:right w:val="single" w:sz="4" w:space="0" w:color="auto"/>
            </w:tcBorders>
            <w:vAlign w:val="center"/>
          </w:tcPr>
          <w:p w14:paraId="24AFC0D9" w14:textId="6DB1BF37" w:rsidR="00B35BF4" w:rsidRPr="00E3788D" w:rsidRDefault="00B35BF4" w:rsidP="00B35BF4">
            <w:pPr>
              <w:pStyle w:val="Tableleft"/>
            </w:pPr>
            <w:r w:rsidRPr="00E3788D">
              <w:t>Outcome and impact assessment</w:t>
            </w:r>
            <w:r>
              <w:t xml:space="preserve"> &amp; farming systems</w:t>
            </w:r>
          </w:p>
        </w:tc>
        <w:tc>
          <w:tcPr>
            <w:tcW w:w="637" w:type="dxa"/>
            <w:tcBorders>
              <w:left w:val="single" w:sz="4" w:space="0" w:color="auto"/>
            </w:tcBorders>
            <w:shd w:val="clear" w:color="auto" w:fill="auto"/>
            <w:vAlign w:val="center"/>
          </w:tcPr>
          <w:p w14:paraId="058602CD" w14:textId="77777777" w:rsidR="00B35BF4" w:rsidRPr="00FB0501" w:rsidRDefault="00B35BF4" w:rsidP="00B35BF4">
            <w:pPr>
              <w:pStyle w:val="Tablecentre"/>
              <w:rPr>
                <w:highlight w:val="yellow"/>
              </w:rPr>
            </w:pPr>
          </w:p>
        </w:tc>
        <w:tc>
          <w:tcPr>
            <w:tcW w:w="638" w:type="dxa"/>
            <w:shd w:val="clear" w:color="auto" w:fill="D9D9D9" w:themeFill="background1" w:themeFillShade="D9"/>
            <w:vAlign w:val="center"/>
          </w:tcPr>
          <w:p w14:paraId="01262E45" w14:textId="77777777" w:rsidR="00B35BF4" w:rsidRPr="00FB0501" w:rsidRDefault="00B35BF4" w:rsidP="00B35BF4">
            <w:pPr>
              <w:pStyle w:val="Tablecentre"/>
              <w:rPr>
                <w:highlight w:val="yellow"/>
              </w:rPr>
            </w:pPr>
          </w:p>
        </w:tc>
        <w:tc>
          <w:tcPr>
            <w:tcW w:w="638" w:type="dxa"/>
            <w:shd w:val="clear" w:color="auto" w:fill="D9D9D9" w:themeFill="background1" w:themeFillShade="D9"/>
            <w:vAlign w:val="center"/>
          </w:tcPr>
          <w:p w14:paraId="30C9BE98" w14:textId="77777777" w:rsidR="00B35BF4" w:rsidRPr="00FB0501" w:rsidRDefault="00B35BF4" w:rsidP="00B35BF4">
            <w:pPr>
              <w:pStyle w:val="Tablecentre"/>
              <w:rPr>
                <w:highlight w:val="yellow"/>
              </w:rPr>
            </w:pPr>
          </w:p>
        </w:tc>
        <w:tc>
          <w:tcPr>
            <w:tcW w:w="638" w:type="dxa"/>
            <w:shd w:val="clear" w:color="auto" w:fill="auto"/>
            <w:vAlign w:val="center"/>
          </w:tcPr>
          <w:p w14:paraId="46A1A988" w14:textId="77777777" w:rsidR="00B35BF4" w:rsidRPr="00FB0501" w:rsidRDefault="00B35BF4" w:rsidP="00B35BF4">
            <w:pPr>
              <w:pStyle w:val="Tablecentre"/>
              <w:rPr>
                <w:highlight w:val="yellow"/>
              </w:rPr>
            </w:pPr>
          </w:p>
        </w:tc>
        <w:tc>
          <w:tcPr>
            <w:tcW w:w="638" w:type="dxa"/>
            <w:shd w:val="clear" w:color="auto" w:fill="auto"/>
            <w:vAlign w:val="center"/>
          </w:tcPr>
          <w:p w14:paraId="42F1A35B" w14:textId="77777777" w:rsidR="00B35BF4" w:rsidRPr="00FB0501" w:rsidRDefault="00B35BF4" w:rsidP="00B35BF4">
            <w:pPr>
              <w:pStyle w:val="Tablecentre"/>
              <w:rPr>
                <w:highlight w:val="yellow"/>
              </w:rPr>
            </w:pPr>
          </w:p>
        </w:tc>
        <w:tc>
          <w:tcPr>
            <w:tcW w:w="638" w:type="dxa"/>
            <w:tcBorders>
              <w:right w:val="single" w:sz="4" w:space="0" w:color="auto"/>
            </w:tcBorders>
            <w:shd w:val="clear" w:color="auto" w:fill="D9D9D9" w:themeFill="background1" w:themeFillShade="D9"/>
            <w:vAlign w:val="center"/>
          </w:tcPr>
          <w:p w14:paraId="4B14AD3B" w14:textId="77777777" w:rsidR="00B35BF4" w:rsidRPr="00FB0501" w:rsidRDefault="00B35BF4" w:rsidP="00B35BF4">
            <w:pPr>
              <w:pStyle w:val="Tablecentre"/>
              <w:rPr>
                <w:highlight w:val="yellow"/>
              </w:rPr>
            </w:pPr>
          </w:p>
        </w:tc>
        <w:tc>
          <w:tcPr>
            <w:tcW w:w="544" w:type="dxa"/>
            <w:tcBorders>
              <w:left w:val="single" w:sz="4" w:space="0" w:color="auto"/>
            </w:tcBorders>
            <w:vAlign w:val="center"/>
          </w:tcPr>
          <w:p w14:paraId="188696B3" w14:textId="23FBF27C" w:rsidR="00B35BF4" w:rsidRPr="00E3788D" w:rsidRDefault="00B35BF4" w:rsidP="00B35BF4">
            <w:pPr>
              <w:pStyle w:val="Tableleft"/>
              <w:jc w:val="center"/>
            </w:pPr>
            <w:r w:rsidRPr="001B3682">
              <w:t>1</w:t>
            </w:r>
          </w:p>
        </w:tc>
        <w:tc>
          <w:tcPr>
            <w:tcW w:w="544" w:type="dxa"/>
            <w:vAlign w:val="center"/>
          </w:tcPr>
          <w:p w14:paraId="73467BBC" w14:textId="13924016" w:rsidR="00B35BF4" w:rsidRPr="00E3788D" w:rsidRDefault="00B35BF4" w:rsidP="00B35BF4">
            <w:pPr>
              <w:pStyle w:val="Tableleft"/>
              <w:jc w:val="center"/>
            </w:pPr>
            <w:r w:rsidRPr="00B35BF4">
              <w:t>2</w:t>
            </w:r>
          </w:p>
        </w:tc>
      </w:tr>
      <w:tr w:rsidR="00B35BF4" w:rsidRPr="00E3788D" w14:paraId="6919B172" w14:textId="77777777" w:rsidTr="00D55CCC">
        <w:tc>
          <w:tcPr>
            <w:tcW w:w="1483" w:type="dxa"/>
            <w:vAlign w:val="center"/>
          </w:tcPr>
          <w:p w14:paraId="26285DF5" w14:textId="61D27F78" w:rsidR="00B35BF4" w:rsidRPr="00E3788D" w:rsidRDefault="00B35BF4" w:rsidP="00B35BF4">
            <w:pPr>
              <w:pStyle w:val="Tableleft"/>
            </w:pPr>
            <w:r w:rsidRPr="00E3788D">
              <w:t xml:space="preserve">Juliana </w:t>
            </w:r>
            <w:proofErr w:type="spellStart"/>
            <w:r w:rsidRPr="00E3788D">
              <w:t>Pinillos</w:t>
            </w:r>
            <w:proofErr w:type="spellEnd"/>
            <w:r>
              <w:t xml:space="preserve"> </w:t>
            </w:r>
            <w:r w:rsidRPr="00E3788D">
              <w:t>(CIAT)</w:t>
            </w:r>
          </w:p>
        </w:tc>
        <w:tc>
          <w:tcPr>
            <w:tcW w:w="2628" w:type="dxa"/>
            <w:tcBorders>
              <w:right w:val="single" w:sz="4" w:space="0" w:color="auto"/>
            </w:tcBorders>
            <w:vAlign w:val="center"/>
          </w:tcPr>
          <w:p w14:paraId="75A951F9" w14:textId="77777777" w:rsidR="00B35BF4" w:rsidRPr="00E3788D" w:rsidRDefault="00B35BF4" w:rsidP="00B35BF4">
            <w:pPr>
              <w:pStyle w:val="Tableleft"/>
            </w:pPr>
            <w:r w:rsidRPr="00E3788D">
              <w:t>Outcome and impact assessment</w:t>
            </w:r>
          </w:p>
        </w:tc>
        <w:tc>
          <w:tcPr>
            <w:tcW w:w="637" w:type="dxa"/>
            <w:tcBorders>
              <w:left w:val="single" w:sz="4" w:space="0" w:color="auto"/>
            </w:tcBorders>
            <w:shd w:val="clear" w:color="auto" w:fill="D9D9D9" w:themeFill="background1" w:themeFillShade="D9"/>
            <w:vAlign w:val="center"/>
          </w:tcPr>
          <w:p w14:paraId="7BBAB2B7" w14:textId="7E693EFD" w:rsidR="00B35BF4" w:rsidRPr="00E3788D" w:rsidRDefault="00B35BF4" w:rsidP="00B35BF4">
            <w:pPr>
              <w:pStyle w:val="Tablecentre"/>
            </w:pPr>
          </w:p>
        </w:tc>
        <w:tc>
          <w:tcPr>
            <w:tcW w:w="638" w:type="dxa"/>
            <w:shd w:val="clear" w:color="auto" w:fill="D9D9D9" w:themeFill="background1" w:themeFillShade="D9"/>
            <w:vAlign w:val="center"/>
          </w:tcPr>
          <w:p w14:paraId="44672106" w14:textId="53690171" w:rsidR="00B35BF4" w:rsidRPr="00E3788D" w:rsidRDefault="00B35BF4" w:rsidP="00B35BF4">
            <w:pPr>
              <w:pStyle w:val="Tablecentre"/>
            </w:pPr>
          </w:p>
        </w:tc>
        <w:tc>
          <w:tcPr>
            <w:tcW w:w="638" w:type="dxa"/>
            <w:shd w:val="clear" w:color="auto" w:fill="D9D9D9" w:themeFill="background1" w:themeFillShade="D9"/>
            <w:vAlign w:val="center"/>
          </w:tcPr>
          <w:p w14:paraId="436AB779" w14:textId="3779B6DD" w:rsidR="00B35BF4" w:rsidRPr="00E3788D" w:rsidRDefault="00B35BF4" w:rsidP="00B35BF4">
            <w:pPr>
              <w:pStyle w:val="Tablecentre"/>
            </w:pPr>
          </w:p>
        </w:tc>
        <w:tc>
          <w:tcPr>
            <w:tcW w:w="638" w:type="dxa"/>
            <w:shd w:val="clear" w:color="auto" w:fill="D9D9D9" w:themeFill="background1" w:themeFillShade="D9"/>
            <w:vAlign w:val="center"/>
          </w:tcPr>
          <w:p w14:paraId="700D840E" w14:textId="72E788D8" w:rsidR="00B35BF4" w:rsidRPr="00E3788D" w:rsidRDefault="00B35BF4" w:rsidP="00B35BF4">
            <w:pPr>
              <w:pStyle w:val="Tablecentre"/>
            </w:pPr>
          </w:p>
        </w:tc>
        <w:tc>
          <w:tcPr>
            <w:tcW w:w="638" w:type="dxa"/>
            <w:shd w:val="clear" w:color="auto" w:fill="D9D9D9" w:themeFill="background1" w:themeFillShade="D9"/>
            <w:vAlign w:val="center"/>
          </w:tcPr>
          <w:p w14:paraId="51900AE4" w14:textId="516A37B2" w:rsidR="00B35BF4" w:rsidRPr="00E3788D" w:rsidRDefault="00B35BF4" w:rsidP="00B35BF4">
            <w:pPr>
              <w:pStyle w:val="Tablecentre"/>
            </w:pPr>
          </w:p>
        </w:tc>
        <w:tc>
          <w:tcPr>
            <w:tcW w:w="638" w:type="dxa"/>
            <w:tcBorders>
              <w:right w:val="single" w:sz="4" w:space="0" w:color="auto"/>
            </w:tcBorders>
            <w:shd w:val="clear" w:color="auto" w:fill="D9D9D9" w:themeFill="background1" w:themeFillShade="D9"/>
            <w:vAlign w:val="center"/>
          </w:tcPr>
          <w:p w14:paraId="1DFEA5C5" w14:textId="0EC5B2D4" w:rsidR="00B35BF4" w:rsidRPr="00E3788D" w:rsidRDefault="00B35BF4" w:rsidP="00B35BF4">
            <w:pPr>
              <w:pStyle w:val="Tablecentre"/>
            </w:pPr>
          </w:p>
        </w:tc>
        <w:tc>
          <w:tcPr>
            <w:tcW w:w="544" w:type="dxa"/>
            <w:tcBorders>
              <w:left w:val="single" w:sz="4" w:space="0" w:color="auto"/>
            </w:tcBorders>
            <w:vAlign w:val="center"/>
          </w:tcPr>
          <w:p w14:paraId="7BDE2EA2" w14:textId="6CB158F1" w:rsidR="00B35BF4" w:rsidRPr="00E3788D" w:rsidRDefault="00B35BF4" w:rsidP="00B35BF4">
            <w:pPr>
              <w:pStyle w:val="Tableleft"/>
              <w:jc w:val="center"/>
            </w:pPr>
            <w:r w:rsidRPr="001B3682">
              <w:t>10</w:t>
            </w:r>
          </w:p>
        </w:tc>
        <w:tc>
          <w:tcPr>
            <w:tcW w:w="544" w:type="dxa"/>
            <w:vAlign w:val="center"/>
          </w:tcPr>
          <w:p w14:paraId="4D2A4158" w14:textId="6AAE044B" w:rsidR="00B35BF4" w:rsidRPr="00E3788D" w:rsidRDefault="00B35BF4" w:rsidP="00B35BF4">
            <w:pPr>
              <w:pStyle w:val="Tableleft"/>
              <w:jc w:val="center"/>
            </w:pPr>
            <w:r w:rsidRPr="00B35BF4">
              <w:t>50</w:t>
            </w:r>
          </w:p>
        </w:tc>
      </w:tr>
      <w:tr w:rsidR="00B35BF4" w:rsidRPr="00E3788D" w14:paraId="527254D3" w14:textId="77777777" w:rsidTr="00D55CCC">
        <w:tc>
          <w:tcPr>
            <w:tcW w:w="1483" w:type="dxa"/>
            <w:vAlign w:val="center"/>
          </w:tcPr>
          <w:p w14:paraId="19B95282" w14:textId="566BFA4E" w:rsidR="00B35BF4" w:rsidRPr="00E3788D" w:rsidRDefault="00B35BF4" w:rsidP="00B35BF4">
            <w:pPr>
              <w:pStyle w:val="Tableleft"/>
            </w:pPr>
            <w:r w:rsidRPr="00E3788D">
              <w:t xml:space="preserve">Karen </w:t>
            </w:r>
            <w:proofErr w:type="spellStart"/>
            <w:r w:rsidRPr="00E3788D">
              <w:t>Enciso</w:t>
            </w:r>
            <w:proofErr w:type="spellEnd"/>
            <w:r w:rsidRPr="00E3788D">
              <w:t xml:space="preserve"> (CIAT)</w:t>
            </w:r>
          </w:p>
        </w:tc>
        <w:tc>
          <w:tcPr>
            <w:tcW w:w="2628" w:type="dxa"/>
            <w:tcBorders>
              <w:right w:val="single" w:sz="4" w:space="0" w:color="auto"/>
            </w:tcBorders>
            <w:vAlign w:val="center"/>
          </w:tcPr>
          <w:p w14:paraId="759F14DF" w14:textId="77777777" w:rsidR="00B35BF4" w:rsidRPr="00E3788D" w:rsidRDefault="00B35BF4" w:rsidP="00B35BF4">
            <w:pPr>
              <w:pStyle w:val="Tableleft"/>
            </w:pPr>
            <w:r w:rsidRPr="00E3788D">
              <w:t xml:space="preserve">Socioeconomic and value chain analysis </w:t>
            </w:r>
          </w:p>
        </w:tc>
        <w:tc>
          <w:tcPr>
            <w:tcW w:w="637" w:type="dxa"/>
            <w:tcBorders>
              <w:left w:val="single" w:sz="4" w:space="0" w:color="auto"/>
            </w:tcBorders>
            <w:shd w:val="clear" w:color="auto" w:fill="D9D9D9" w:themeFill="background1" w:themeFillShade="D9"/>
            <w:vAlign w:val="center"/>
          </w:tcPr>
          <w:p w14:paraId="72F0B26F" w14:textId="029D56F2" w:rsidR="00B35BF4" w:rsidRPr="00E3788D" w:rsidRDefault="00B35BF4" w:rsidP="00B35BF4">
            <w:pPr>
              <w:pStyle w:val="Tablecentre"/>
            </w:pPr>
          </w:p>
        </w:tc>
        <w:tc>
          <w:tcPr>
            <w:tcW w:w="638" w:type="dxa"/>
            <w:vAlign w:val="center"/>
          </w:tcPr>
          <w:p w14:paraId="16FA3D3E" w14:textId="77777777" w:rsidR="00B35BF4" w:rsidRPr="00E3788D" w:rsidRDefault="00B35BF4" w:rsidP="00B35BF4">
            <w:pPr>
              <w:pStyle w:val="Tablecentre"/>
            </w:pPr>
          </w:p>
        </w:tc>
        <w:tc>
          <w:tcPr>
            <w:tcW w:w="638" w:type="dxa"/>
            <w:shd w:val="clear" w:color="auto" w:fill="D9D9D9" w:themeFill="background1" w:themeFillShade="D9"/>
            <w:vAlign w:val="center"/>
          </w:tcPr>
          <w:p w14:paraId="190C432D" w14:textId="4BAB3858" w:rsidR="00B35BF4" w:rsidRPr="00E3788D" w:rsidRDefault="00B35BF4" w:rsidP="00B35BF4">
            <w:pPr>
              <w:pStyle w:val="Tablecentre"/>
            </w:pPr>
          </w:p>
        </w:tc>
        <w:tc>
          <w:tcPr>
            <w:tcW w:w="638" w:type="dxa"/>
            <w:shd w:val="clear" w:color="auto" w:fill="D9D9D9" w:themeFill="background1" w:themeFillShade="D9"/>
            <w:vAlign w:val="center"/>
          </w:tcPr>
          <w:p w14:paraId="0679CC0D" w14:textId="2FA0ECDA" w:rsidR="00B35BF4" w:rsidRPr="00E3788D" w:rsidRDefault="00B35BF4" w:rsidP="00B35BF4">
            <w:pPr>
              <w:pStyle w:val="Tablecentre"/>
            </w:pPr>
          </w:p>
        </w:tc>
        <w:tc>
          <w:tcPr>
            <w:tcW w:w="638" w:type="dxa"/>
            <w:shd w:val="clear" w:color="auto" w:fill="D9D9D9" w:themeFill="background1" w:themeFillShade="D9"/>
            <w:vAlign w:val="center"/>
          </w:tcPr>
          <w:p w14:paraId="0995B2C4" w14:textId="3E9D3256" w:rsidR="00B35BF4" w:rsidRPr="00E3788D" w:rsidRDefault="00B35BF4" w:rsidP="00B35BF4">
            <w:pPr>
              <w:pStyle w:val="Tablecentre"/>
            </w:pPr>
          </w:p>
        </w:tc>
        <w:tc>
          <w:tcPr>
            <w:tcW w:w="638" w:type="dxa"/>
            <w:tcBorders>
              <w:right w:val="single" w:sz="4" w:space="0" w:color="auto"/>
            </w:tcBorders>
            <w:shd w:val="clear" w:color="auto" w:fill="D9D9D9" w:themeFill="background1" w:themeFillShade="D9"/>
            <w:vAlign w:val="center"/>
          </w:tcPr>
          <w:p w14:paraId="4EF7CAD7" w14:textId="26A2622D" w:rsidR="00B35BF4" w:rsidRPr="00E3788D" w:rsidRDefault="00B35BF4" w:rsidP="00B35BF4">
            <w:pPr>
              <w:pStyle w:val="Tablecentre"/>
            </w:pPr>
          </w:p>
        </w:tc>
        <w:tc>
          <w:tcPr>
            <w:tcW w:w="544" w:type="dxa"/>
            <w:tcBorders>
              <w:left w:val="single" w:sz="4" w:space="0" w:color="auto"/>
            </w:tcBorders>
            <w:vAlign w:val="center"/>
          </w:tcPr>
          <w:p w14:paraId="56DA4BED" w14:textId="30E79D12" w:rsidR="00B35BF4" w:rsidRPr="00E3788D" w:rsidRDefault="00B35BF4" w:rsidP="00B35BF4">
            <w:pPr>
              <w:pStyle w:val="Tableleft"/>
              <w:jc w:val="center"/>
            </w:pPr>
            <w:r w:rsidRPr="001B3682">
              <w:t>10</w:t>
            </w:r>
          </w:p>
        </w:tc>
        <w:tc>
          <w:tcPr>
            <w:tcW w:w="544" w:type="dxa"/>
            <w:vAlign w:val="center"/>
          </w:tcPr>
          <w:p w14:paraId="132D7871" w14:textId="40817DA0" w:rsidR="00B35BF4" w:rsidRPr="00E3788D" w:rsidRDefault="00B35BF4" w:rsidP="00B35BF4">
            <w:pPr>
              <w:pStyle w:val="Tableleft"/>
              <w:jc w:val="center"/>
            </w:pPr>
            <w:r w:rsidRPr="00B35BF4">
              <w:t>50</w:t>
            </w:r>
          </w:p>
        </w:tc>
      </w:tr>
      <w:tr w:rsidR="00B35BF4" w:rsidRPr="00E3788D" w14:paraId="1B9A7A5E" w14:textId="77777777" w:rsidTr="00D55CCC">
        <w:tc>
          <w:tcPr>
            <w:tcW w:w="1483" w:type="dxa"/>
            <w:tcBorders>
              <w:bottom w:val="single" w:sz="12" w:space="0" w:color="auto"/>
            </w:tcBorders>
            <w:vAlign w:val="center"/>
          </w:tcPr>
          <w:p w14:paraId="072D1153" w14:textId="77777777" w:rsidR="00B35BF4" w:rsidRPr="00E3788D" w:rsidRDefault="00B35BF4" w:rsidP="00B35BF4">
            <w:pPr>
              <w:pStyle w:val="Tableleft"/>
            </w:pPr>
            <w:r w:rsidRPr="00E3788D">
              <w:t>Lorena Gomez (CIAT)</w:t>
            </w:r>
          </w:p>
        </w:tc>
        <w:tc>
          <w:tcPr>
            <w:tcW w:w="2628" w:type="dxa"/>
            <w:tcBorders>
              <w:bottom w:val="single" w:sz="12" w:space="0" w:color="auto"/>
              <w:right w:val="single" w:sz="4" w:space="0" w:color="auto"/>
            </w:tcBorders>
            <w:vAlign w:val="center"/>
          </w:tcPr>
          <w:p w14:paraId="66FE5B7E" w14:textId="77777777" w:rsidR="00B35BF4" w:rsidRPr="00E3788D" w:rsidRDefault="00B35BF4" w:rsidP="00B35BF4">
            <w:pPr>
              <w:pStyle w:val="Tableleft"/>
            </w:pPr>
            <w:r w:rsidRPr="00E3788D">
              <w:t>Outcome and impact assessment</w:t>
            </w:r>
          </w:p>
        </w:tc>
        <w:tc>
          <w:tcPr>
            <w:tcW w:w="637" w:type="dxa"/>
            <w:tcBorders>
              <w:left w:val="single" w:sz="4" w:space="0" w:color="auto"/>
              <w:bottom w:val="single" w:sz="12" w:space="0" w:color="auto"/>
            </w:tcBorders>
            <w:shd w:val="clear" w:color="auto" w:fill="D9D9D9" w:themeFill="background1" w:themeFillShade="D9"/>
            <w:vAlign w:val="center"/>
          </w:tcPr>
          <w:p w14:paraId="4708CF68" w14:textId="4B0D863F" w:rsidR="00B35BF4" w:rsidRPr="00E3788D" w:rsidRDefault="00B35BF4" w:rsidP="00B35BF4">
            <w:pPr>
              <w:pStyle w:val="Tablecentre"/>
            </w:pPr>
          </w:p>
        </w:tc>
        <w:tc>
          <w:tcPr>
            <w:tcW w:w="638" w:type="dxa"/>
            <w:tcBorders>
              <w:bottom w:val="single" w:sz="12" w:space="0" w:color="auto"/>
            </w:tcBorders>
            <w:vAlign w:val="center"/>
          </w:tcPr>
          <w:p w14:paraId="3809B26E" w14:textId="77777777" w:rsidR="00B35BF4" w:rsidRPr="00E3788D" w:rsidRDefault="00B35BF4" w:rsidP="00B35BF4">
            <w:pPr>
              <w:pStyle w:val="Tablecentre"/>
            </w:pPr>
          </w:p>
        </w:tc>
        <w:tc>
          <w:tcPr>
            <w:tcW w:w="638" w:type="dxa"/>
            <w:tcBorders>
              <w:bottom w:val="single" w:sz="12" w:space="0" w:color="auto"/>
            </w:tcBorders>
            <w:shd w:val="clear" w:color="auto" w:fill="D9D9D9" w:themeFill="background1" w:themeFillShade="D9"/>
            <w:vAlign w:val="center"/>
          </w:tcPr>
          <w:p w14:paraId="670F0425" w14:textId="232B3142" w:rsidR="00B35BF4" w:rsidRPr="00E3788D" w:rsidRDefault="00B35BF4" w:rsidP="00B35BF4">
            <w:pPr>
              <w:pStyle w:val="Tablecentre"/>
            </w:pPr>
          </w:p>
        </w:tc>
        <w:tc>
          <w:tcPr>
            <w:tcW w:w="638" w:type="dxa"/>
            <w:tcBorders>
              <w:bottom w:val="single" w:sz="12" w:space="0" w:color="auto"/>
            </w:tcBorders>
            <w:shd w:val="clear" w:color="auto" w:fill="D9D9D9" w:themeFill="background1" w:themeFillShade="D9"/>
            <w:vAlign w:val="center"/>
          </w:tcPr>
          <w:p w14:paraId="461EE5A5" w14:textId="691D469F" w:rsidR="00B35BF4" w:rsidRPr="00E3788D" w:rsidRDefault="00B35BF4" w:rsidP="00B35BF4">
            <w:pPr>
              <w:pStyle w:val="Tablecentre"/>
            </w:pPr>
          </w:p>
        </w:tc>
        <w:tc>
          <w:tcPr>
            <w:tcW w:w="638" w:type="dxa"/>
            <w:tcBorders>
              <w:bottom w:val="single" w:sz="12" w:space="0" w:color="auto"/>
            </w:tcBorders>
            <w:vAlign w:val="center"/>
          </w:tcPr>
          <w:p w14:paraId="2A5CBB7E" w14:textId="77777777" w:rsidR="00B35BF4" w:rsidRPr="00E3788D" w:rsidRDefault="00B35BF4" w:rsidP="00B35BF4">
            <w:pPr>
              <w:pStyle w:val="Tablecentre"/>
            </w:pPr>
          </w:p>
        </w:tc>
        <w:tc>
          <w:tcPr>
            <w:tcW w:w="638" w:type="dxa"/>
            <w:tcBorders>
              <w:bottom w:val="single" w:sz="12" w:space="0" w:color="auto"/>
              <w:right w:val="single" w:sz="4" w:space="0" w:color="auto"/>
            </w:tcBorders>
            <w:vAlign w:val="center"/>
          </w:tcPr>
          <w:p w14:paraId="42918E5D" w14:textId="77777777" w:rsidR="00B35BF4" w:rsidRPr="00E3788D" w:rsidRDefault="00B35BF4" w:rsidP="00B35BF4">
            <w:pPr>
              <w:pStyle w:val="Tablecentre"/>
            </w:pPr>
          </w:p>
        </w:tc>
        <w:tc>
          <w:tcPr>
            <w:tcW w:w="544" w:type="dxa"/>
            <w:tcBorders>
              <w:left w:val="single" w:sz="4" w:space="0" w:color="auto"/>
              <w:bottom w:val="single" w:sz="12" w:space="0" w:color="auto"/>
            </w:tcBorders>
            <w:vAlign w:val="center"/>
          </w:tcPr>
          <w:p w14:paraId="1652D21E" w14:textId="42BD44E8" w:rsidR="00B35BF4" w:rsidRPr="00E3788D" w:rsidRDefault="00B35BF4" w:rsidP="00B35BF4">
            <w:pPr>
              <w:pStyle w:val="Tableleft"/>
              <w:jc w:val="center"/>
            </w:pPr>
            <w:r w:rsidRPr="001B3682">
              <w:t>8</w:t>
            </w:r>
          </w:p>
        </w:tc>
        <w:tc>
          <w:tcPr>
            <w:tcW w:w="544" w:type="dxa"/>
            <w:tcBorders>
              <w:bottom w:val="single" w:sz="12" w:space="0" w:color="auto"/>
            </w:tcBorders>
            <w:vAlign w:val="center"/>
          </w:tcPr>
          <w:p w14:paraId="650F6B76" w14:textId="720953B1" w:rsidR="00B35BF4" w:rsidRPr="00E3788D" w:rsidRDefault="00B35BF4" w:rsidP="00B35BF4">
            <w:pPr>
              <w:pStyle w:val="Tableleft"/>
              <w:jc w:val="center"/>
            </w:pPr>
            <w:r w:rsidRPr="00B35BF4">
              <w:t>30</w:t>
            </w:r>
          </w:p>
        </w:tc>
      </w:tr>
    </w:tbl>
    <w:p w14:paraId="10551C3A" w14:textId="237F66C5" w:rsidR="00E3788D" w:rsidRDefault="00126B26" w:rsidP="00560E13">
      <w:pPr>
        <w:pStyle w:val="Tablefootnote"/>
      </w:pPr>
      <w:r>
        <w:rPr>
          <w:vertAlign w:val="superscript"/>
        </w:rPr>
        <w:t>1</w:t>
      </w:r>
      <w:r w:rsidR="00B47602">
        <w:t xml:space="preserve">Ricardo </w:t>
      </w:r>
      <w:proofErr w:type="spellStart"/>
      <w:r w:rsidR="00B47602">
        <w:t>Labarta</w:t>
      </w:r>
      <w:r>
        <w:t>’s</w:t>
      </w:r>
      <w:proofErr w:type="spellEnd"/>
      <w:r>
        <w:t xml:space="preserve"> staff time will be provided by CIAT as </w:t>
      </w:r>
      <w:r w:rsidR="00B47602">
        <w:t xml:space="preserve">in-kind </w:t>
      </w:r>
      <w:r w:rsidR="00A40491">
        <w:t>contribution</w:t>
      </w:r>
      <w:r w:rsidR="00B47602">
        <w:t xml:space="preserve"> to the project</w:t>
      </w:r>
    </w:p>
    <w:p w14:paraId="2C2899C4" w14:textId="77777777" w:rsidR="00E3788D" w:rsidRPr="00422C81" w:rsidRDefault="00E3788D" w:rsidP="00E3788D">
      <w:pPr>
        <w:pStyle w:val="BodyText"/>
      </w:pPr>
      <w:r>
        <w:t>Primary Experts to contact</w:t>
      </w:r>
      <w:r w:rsidRPr="00952EC9">
        <w:t>:</w:t>
      </w:r>
    </w:p>
    <w:p w14:paraId="2C9FACA0" w14:textId="58E8CA4A" w:rsidR="00E3788D" w:rsidRDefault="00E3788D" w:rsidP="00E3788D">
      <w:pPr>
        <w:pStyle w:val="ListBullet"/>
      </w:pPr>
      <w:r>
        <w:t>Michael Peters (Tropical forages program</w:t>
      </w:r>
      <w:r w:rsidR="001B3682">
        <w:t>me</w:t>
      </w:r>
      <w:r>
        <w:t xml:space="preserve"> leader, CIAT)</w:t>
      </w:r>
    </w:p>
    <w:p w14:paraId="04AE475A" w14:textId="77777777" w:rsidR="00E3788D" w:rsidRDefault="00E3788D" w:rsidP="00E3788D">
      <w:pPr>
        <w:pStyle w:val="ListBullet"/>
      </w:pPr>
      <w:r>
        <w:t xml:space="preserve">An Notenbaert </w:t>
      </w:r>
      <w:r w:rsidDel="009E26C4">
        <w:t xml:space="preserve"> </w:t>
      </w:r>
      <w:r>
        <w:t>(Tropical forage coordinator for Africa, CIAT)</w:t>
      </w:r>
    </w:p>
    <w:p w14:paraId="2CF3F747" w14:textId="77777777" w:rsidR="00E3788D" w:rsidRDefault="00E3788D" w:rsidP="00E3788D">
      <w:pPr>
        <w:pStyle w:val="ListBullet"/>
      </w:pPr>
      <w:r>
        <w:t>Martin Mena (Livestock researcher, CIAT)</w:t>
      </w:r>
    </w:p>
    <w:p w14:paraId="26621F62" w14:textId="77777777" w:rsidR="00E3788D" w:rsidRDefault="00E3788D" w:rsidP="00E3788D">
      <w:pPr>
        <w:pStyle w:val="ListBullet"/>
      </w:pPr>
      <w:r>
        <w:t>Mauricio Sotelo (Forage seeds expert, CIAT)</w:t>
      </w:r>
    </w:p>
    <w:p w14:paraId="3BB9281A" w14:textId="4944366D" w:rsidR="001B3682" w:rsidRDefault="001B3682" w:rsidP="00E3788D">
      <w:pPr>
        <w:pStyle w:val="ListBullet"/>
      </w:pPr>
      <w:r>
        <w:t>Chris Jones (Feeds and forages programme leader, ILRI)</w:t>
      </w:r>
    </w:p>
    <w:p w14:paraId="75A558CA" w14:textId="5D956351" w:rsidR="001B3682" w:rsidRDefault="001B3682" w:rsidP="00E3788D">
      <w:pPr>
        <w:pStyle w:val="ListBullet"/>
      </w:pPr>
      <w:r>
        <w:t>Michael B</w:t>
      </w:r>
      <w:proofErr w:type="spellStart"/>
      <w:r>
        <w:rPr>
          <w:lang w:val="de-DE"/>
        </w:rPr>
        <w:t>lümmel</w:t>
      </w:r>
      <w:proofErr w:type="spellEnd"/>
      <w:r>
        <w:t xml:space="preserve"> (Animal nutritionist and forage expert, ILRI)</w:t>
      </w:r>
    </w:p>
    <w:p w14:paraId="2C03CCFD" w14:textId="231A9CA5" w:rsidR="006E578C" w:rsidRDefault="00802C7C" w:rsidP="004A3495">
      <w:pPr>
        <w:pStyle w:val="Heading2"/>
      </w:pPr>
      <w:r>
        <w:lastRenderedPageBreak/>
        <w:t>References</w:t>
      </w:r>
    </w:p>
    <w:p w14:paraId="60E3ED7C" w14:textId="77777777" w:rsidR="00802C7C" w:rsidRDefault="00802C7C" w:rsidP="00802C7C">
      <w:pPr>
        <w:pStyle w:val="BodyText"/>
      </w:pPr>
    </w:p>
    <w:p w14:paraId="2A1692A8" w14:textId="70985B46" w:rsidR="00491158" w:rsidRDefault="00491158" w:rsidP="00802C7C">
      <w:pPr>
        <w:pStyle w:val="BodyText"/>
      </w:pPr>
      <w:proofErr w:type="spellStart"/>
      <w:r>
        <w:t>Holmann</w:t>
      </w:r>
      <w:proofErr w:type="spellEnd"/>
      <w:r>
        <w:t xml:space="preserve">, F., L. Rivas, P. </w:t>
      </w:r>
      <w:proofErr w:type="spellStart"/>
      <w:r>
        <w:t>Argel</w:t>
      </w:r>
      <w:proofErr w:type="spellEnd"/>
      <w:r>
        <w:t xml:space="preserve"> &amp; E. Perez (2004). Impact of the adoption of </w:t>
      </w:r>
      <w:proofErr w:type="spellStart"/>
      <w:r>
        <w:t>Brachiaria</w:t>
      </w:r>
      <w:proofErr w:type="spellEnd"/>
      <w:r>
        <w:t xml:space="preserve"> grasses: Central America &amp; Mexico. Livestock Research for rural Development 16 (12).</w:t>
      </w:r>
    </w:p>
    <w:p w14:paraId="4309F8BE" w14:textId="77777777" w:rsidR="00491158" w:rsidRDefault="00491158" w:rsidP="00802C7C">
      <w:pPr>
        <w:pStyle w:val="BodyText"/>
      </w:pPr>
    </w:p>
    <w:p w14:paraId="1FF28CDC" w14:textId="539D24BE" w:rsidR="00491158" w:rsidRPr="00194219" w:rsidRDefault="00491158" w:rsidP="00802C7C">
      <w:pPr>
        <w:pStyle w:val="BodyText"/>
        <w:rPr>
          <w:szCs w:val="22"/>
          <w:lang w:val="en-US"/>
        </w:rPr>
      </w:pPr>
      <w:proofErr w:type="spellStart"/>
      <w:r w:rsidRPr="00194219">
        <w:rPr>
          <w:szCs w:val="22"/>
          <w:lang w:val="en-US"/>
        </w:rPr>
        <w:t>Holmann</w:t>
      </w:r>
      <w:proofErr w:type="spellEnd"/>
      <w:r w:rsidRPr="00194219">
        <w:rPr>
          <w:szCs w:val="22"/>
          <w:lang w:val="en-US"/>
        </w:rPr>
        <w:t xml:space="preserve">, F., P. </w:t>
      </w:r>
      <w:proofErr w:type="spellStart"/>
      <w:r w:rsidRPr="00194219">
        <w:rPr>
          <w:szCs w:val="22"/>
          <w:lang w:val="en-US"/>
        </w:rPr>
        <w:t>Argel</w:t>
      </w:r>
      <w:proofErr w:type="spellEnd"/>
      <w:r w:rsidRPr="00194219">
        <w:rPr>
          <w:szCs w:val="22"/>
          <w:lang w:val="en-US"/>
        </w:rPr>
        <w:t xml:space="preserve"> &amp; C. </w:t>
      </w:r>
      <w:proofErr w:type="spellStart"/>
      <w:r w:rsidRPr="00194219">
        <w:rPr>
          <w:szCs w:val="22"/>
          <w:lang w:val="en-US"/>
        </w:rPr>
        <w:t>Lascano</w:t>
      </w:r>
      <w:proofErr w:type="spellEnd"/>
      <w:r w:rsidRPr="00194219">
        <w:rPr>
          <w:szCs w:val="22"/>
          <w:lang w:val="en-US"/>
        </w:rPr>
        <w:t xml:space="preserve"> (2005) </w:t>
      </w:r>
      <w:r w:rsidR="00194219" w:rsidRPr="00194219">
        <w:rPr>
          <w:szCs w:val="22"/>
          <w:lang w:val="en-US"/>
        </w:rPr>
        <w:t xml:space="preserve">Adoption </w:t>
      </w:r>
      <w:r w:rsidR="00194219" w:rsidRPr="003C16BA">
        <w:rPr>
          <w:szCs w:val="22"/>
          <w:lang w:val="en-US"/>
        </w:rPr>
        <w:t xml:space="preserve">of </w:t>
      </w:r>
      <w:proofErr w:type="spellStart"/>
      <w:r w:rsidR="00194219" w:rsidRPr="003C16BA">
        <w:rPr>
          <w:szCs w:val="22"/>
          <w:lang w:val="en-US"/>
        </w:rPr>
        <w:t>Brachiaria</w:t>
      </w:r>
      <w:proofErr w:type="spellEnd"/>
      <w:r w:rsidR="00194219" w:rsidRPr="003C16BA">
        <w:rPr>
          <w:szCs w:val="22"/>
          <w:lang w:val="en-US"/>
        </w:rPr>
        <w:t xml:space="preserve"> grasses in Mexico and Central America: A successful</w:t>
      </w:r>
      <w:r w:rsidR="00194219" w:rsidRPr="00126B26">
        <w:rPr>
          <w:szCs w:val="22"/>
          <w:lang w:val="en-US"/>
        </w:rPr>
        <w:t xml:space="preserve"> story. In </w:t>
      </w:r>
      <w:r w:rsidR="00194219" w:rsidRPr="00194219">
        <w:rPr>
          <w:rFonts w:cs="Helvetica"/>
          <w:color w:val="333333"/>
          <w:szCs w:val="22"/>
          <w:shd w:val="clear" w:color="auto" w:fill="FFFFFF"/>
        </w:rPr>
        <w:t>McGilloway, D.A. (</w:t>
      </w:r>
      <w:proofErr w:type="gramStart"/>
      <w:r w:rsidR="00194219" w:rsidRPr="00194219">
        <w:rPr>
          <w:rFonts w:cs="Helvetica"/>
          <w:color w:val="333333"/>
          <w:szCs w:val="22"/>
          <w:shd w:val="clear" w:color="auto" w:fill="FFFFFF"/>
        </w:rPr>
        <w:t>ed</w:t>
      </w:r>
      <w:proofErr w:type="gramEnd"/>
      <w:r w:rsidR="00194219" w:rsidRPr="00194219">
        <w:rPr>
          <w:rFonts w:cs="Helvetica"/>
          <w:color w:val="333333"/>
          <w:szCs w:val="22"/>
          <w:shd w:val="clear" w:color="auto" w:fill="FFFFFF"/>
        </w:rPr>
        <w:t xml:space="preserve">.). Grassland: a global resource. Proceedings of the twentieth International Grassland Congress, Dublin, Ireland, 26-30 June 2005. </w:t>
      </w:r>
      <w:proofErr w:type="spellStart"/>
      <w:r w:rsidR="00194219" w:rsidRPr="00194219">
        <w:rPr>
          <w:rFonts w:cs="Helvetica"/>
          <w:color w:val="333333"/>
          <w:szCs w:val="22"/>
          <w:shd w:val="clear" w:color="auto" w:fill="FFFFFF"/>
        </w:rPr>
        <w:t>Wageningen</w:t>
      </w:r>
      <w:proofErr w:type="spellEnd"/>
      <w:r w:rsidR="00194219" w:rsidRPr="00194219">
        <w:rPr>
          <w:rFonts w:cs="Helvetica"/>
          <w:color w:val="333333"/>
          <w:szCs w:val="22"/>
          <w:shd w:val="clear" w:color="auto" w:fill="FFFFFF"/>
        </w:rPr>
        <w:t xml:space="preserve"> Academic Publishers, the Netherlands. pp. 343-346</w:t>
      </w:r>
    </w:p>
    <w:p w14:paraId="5140325F" w14:textId="77777777" w:rsidR="00491158" w:rsidRPr="00194219" w:rsidRDefault="00491158" w:rsidP="00802C7C">
      <w:pPr>
        <w:pStyle w:val="BodyText"/>
        <w:rPr>
          <w:lang w:val="en-US"/>
        </w:rPr>
      </w:pPr>
    </w:p>
    <w:p w14:paraId="71C81FC7" w14:textId="7796AD21" w:rsidR="005735FA" w:rsidRDefault="005735FA" w:rsidP="00802C7C">
      <w:pPr>
        <w:pStyle w:val="BodyText"/>
      </w:pPr>
      <w:proofErr w:type="spellStart"/>
      <w:r>
        <w:t>Jutzi</w:t>
      </w:r>
      <w:proofErr w:type="spellEnd"/>
      <w:r>
        <w:t xml:space="preserve">, S.C. &amp; K.M. Rich (2016) An Evaluation of CGIAR </w:t>
      </w:r>
      <w:proofErr w:type="spellStart"/>
      <w:r>
        <w:t>Centers’</w:t>
      </w:r>
      <w:proofErr w:type="spellEnd"/>
      <w:r>
        <w:t xml:space="preserve"> Impact Assessment Work on Livestock Related Research (1990-2014). Rome: Standing Panel on Impact Assessment (SPIA), CGIAR Independent Science and Partnership Council (ISPC). 69 pp</w:t>
      </w:r>
    </w:p>
    <w:p w14:paraId="14E1F87D" w14:textId="77777777" w:rsidR="00EF781F" w:rsidRDefault="00EF781F" w:rsidP="00802C7C">
      <w:pPr>
        <w:pStyle w:val="BodyText"/>
      </w:pPr>
    </w:p>
    <w:p w14:paraId="3C06A169" w14:textId="2BDF888D" w:rsidR="00EF781F" w:rsidRPr="00802C7C" w:rsidRDefault="00EF781F" w:rsidP="00802C7C">
      <w:pPr>
        <w:pStyle w:val="BodyText"/>
      </w:pPr>
      <w:r w:rsidRPr="009A066E">
        <w:rPr>
          <w:color w:val="000000"/>
        </w:rPr>
        <w:t xml:space="preserve">Labarta, R., J.M. Martinez, A. </w:t>
      </w:r>
      <w:proofErr w:type="spellStart"/>
      <w:r w:rsidRPr="009A066E">
        <w:rPr>
          <w:color w:val="000000"/>
        </w:rPr>
        <w:t>Yaccelga</w:t>
      </w:r>
      <w:proofErr w:type="spellEnd"/>
      <w:r w:rsidRPr="009A066E">
        <w:rPr>
          <w:color w:val="000000"/>
        </w:rPr>
        <w:t xml:space="preserve">, M. </w:t>
      </w:r>
      <w:proofErr w:type="spellStart"/>
      <w:r w:rsidRPr="009A066E">
        <w:rPr>
          <w:color w:val="000000"/>
        </w:rPr>
        <w:t>Maredia</w:t>
      </w:r>
      <w:proofErr w:type="spellEnd"/>
      <w:r w:rsidRPr="009A066E">
        <w:rPr>
          <w:color w:val="000000"/>
        </w:rPr>
        <w:t xml:space="preserve">, D. DeYoung, F. </w:t>
      </w:r>
      <w:proofErr w:type="spellStart"/>
      <w:r w:rsidRPr="009A066E">
        <w:rPr>
          <w:color w:val="000000"/>
        </w:rPr>
        <w:t>Carriazo</w:t>
      </w:r>
      <w:proofErr w:type="spellEnd"/>
      <w:r w:rsidRPr="009A066E">
        <w:rPr>
          <w:color w:val="000000"/>
        </w:rPr>
        <w:t xml:space="preserve"> (2017) Measuring the adoption and imp</w:t>
      </w:r>
      <w:r>
        <w:rPr>
          <w:color w:val="000000"/>
        </w:rPr>
        <w:t xml:space="preserve">acts of </w:t>
      </w:r>
      <w:proofErr w:type="spellStart"/>
      <w:r>
        <w:rPr>
          <w:color w:val="000000"/>
        </w:rPr>
        <w:t>Brachiaria</w:t>
      </w:r>
      <w:proofErr w:type="spellEnd"/>
      <w:r>
        <w:rPr>
          <w:color w:val="000000"/>
        </w:rPr>
        <w:t xml:space="preserve"> grasses in La</w:t>
      </w:r>
      <w:r w:rsidRPr="009A066E">
        <w:rPr>
          <w:color w:val="000000"/>
        </w:rPr>
        <w:t>tin America</w:t>
      </w:r>
      <w:r>
        <w:rPr>
          <w:color w:val="000000"/>
        </w:rPr>
        <w:t xml:space="preserve">. </w:t>
      </w:r>
      <w:r>
        <w:rPr>
          <w:rFonts w:cs="Arial"/>
        </w:rPr>
        <w:t>Working Document. International Center for Tropical Agriculture</w:t>
      </w:r>
    </w:p>
    <w:p w14:paraId="338E83BB" w14:textId="676CFC05" w:rsidR="00C177B1" w:rsidRDefault="00C177B1" w:rsidP="00C177B1">
      <w:pPr>
        <w:pStyle w:val="Heading1"/>
      </w:pPr>
      <w:r>
        <w:lastRenderedPageBreak/>
        <w:t>Current adoption of the dual</w:t>
      </w:r>
      <w:r w:rsidR="008D107C">
        <w:t>-purpose groundnut variety ICGV </w:t>
      </w:r>
      <w:r>
        <w:t>91114 in India</w:t>
      </w:r>
    </w:p>
    <w:p w14:paraId="421FD002" w14:textId="77777777" w:rsidR="00E60C2E" w:rsidRDefault="00E60C2E" w:rsidP="004A3495">
      <w:pPr>
        <w:pStyle w:val="Heading2"/>
      </w:pPr>
      <w:r>
        <w:t>Motivation</w:t>
      </w:r>
    </w:p>
    <w:p w14:paraId="0DD3F8E3" w14:textId="2D2566F6" w:rsidR="00E60C2E" w:rsidRDefault="00E60C2E" w:rsidP="00E60C2E">
      <w:pPr>
        <w:pStyle w:val="BodyText"/>
      </w:pPr>
      <w:r>
        <w:t>Groundnut haulms are an important source of high-protein roughage for ruminants in low-rainfall areas where groundnut is an important crop, for instance in</w:t>
      </w:r>
      <w:r w:rsidR="00566A66">
        <w:t xml:space="preserve"> West Africa </w:t>
      </w:r>
      <w:r w:rsidR="00566A66">
        <w:fldChar w:fldCharType="begin" w:fldLock="1"/>
      </w:r>
      <w:r w:rsidR="00566A66">
        <w:instrText>ADDIN CSL_CITATION { "citationItems" : [ { "id" : "ITEM-1", "itemData" : { "DOI" : "10.1007/s11250-007-9009-1", "ISSN" : "00494747", "PMID" : "17691545", "abstract" : "Groundnut haulms along with cowpea hay are major crop residues used for animal fattening in the West African Sahel. In traditional sheep fattening, feeds are always provided ad-hoc and in an unregulated fashion, which is rather wasteful. As a preliminary study to establish the optimal feeding levels of groundnut haulms for profitable sheep fattening, a feeding trial was conducted for 70 days with four levels of groundnut haulms (0, 150, 300 and 450 g/day) and a basal diet of bush hay. The effects of supplementation with groundnut haulms on feed intake, water consumption, live weight changes and economic return were determined. Twenty-four Peuhl Oudah rams with average initial weight of 28.6 kg (SD = 1.4) were randomly allocated to four treatments defined by the four levels of groundnut haulms in the diet. Faeces and urine were collected in weeks 5 and 9 of the trial. Digestible organic matter intake (g/(kg LW)0.75) and nitrogen intake (g/day) increased linearly with the level of groundnut haulms offered. Sheep that were fed only bush hay lost 18.4 g/day, while those that were offered 150, 300 and 450 g of groundnut haulms gained 1.4, 19.3 and 40.2 g/day, respectively. The gross return ranged from 1883 to 4946 FCFA per ram. Net benefit, after removing the feed and veterinary costs from the gross return, ranged from 368 to 1400 FCFA per ram.", "author" : [ { "dropping-particle" : "", "family" : "Ayantunde", "given" : "A. A.", "non-dropping-particle" : "", "parse-names" : false, "suffix" : "" }, { "dropping-particle" : "", "family" : "Delfosse", "given" : "P.", "non-dropping-particle" : "", "parse-names" : false, "suffix" : "" }, { "dropping-particle" : "", "family" : "Fernandez-Rivera", "given" : "S.", "non-dropping-particle" : "", "parse-names" : false, "suffix" : "" }, { "dropping-particle" : "", "family" : "Gerard", "given" : "B.", "non-dropping-particle" : "", "parse-names" : false, "suffix" : "" }, { "dropping-particle" : "", "family" : "Dan-Gomma", "given" : "A.", "non-dropping-particle" : "", "parse-names" : false, "suffix" : "" } ], "container-title" : "Tropical Animal Health and Production", "id" : "ITEM-1", "issue" : "3", "issued" : { "date-parts" : [ [ "2007" ] ] }, "page" : "207-216", "title" : "Supplementation with groundnut haulms for sheep fattening in the West African Sahel", "type" : "article-journal", "volume" : "39" }, "uris" : [ "http://www.mendeley.com/documents/?uuid=5f1088d7-d5cd-40a1-b5f2-5f2ecbcfd263" ] }, { "id" : "ITEM-2", "itemData" : { "abstract" : "Sheep fattening is economically important in mixed crop-livestock systems in the West African Sahel. It is particularly attractive to poor farmers including women because of the low investment and rapid turnover. A feeding trial was conducted for 56 days to determine the optimal feeding levels of groundnut haulms and millet bran for profitable sheep fattening. Forty-eight Peul Oudah rams, bought from a livestock market, about 12-15 months old, with an average initial live weight of 20.3 kg (standard deviation = 1.7) were randomly divided into groups of six animals and allotted to eight treatment groups defined by a factorial combination of four feeding levels of groundnut haulms (0, 300, 600 and 900 g per animal per day) and two levels of millet bran (0 and 400 g per animal per day). Bush hay was offered ad libitum at 40 g/kg live weight as basal feed. Total dry matter intake and digestible organic matter intake were linearly related to the level of groundnut haulms and millet bran offered. Average daily gains (ADGs) of sheep offered 0, 300, 600 and 900 g/day of groundnut haulms without millet bran were -27.5, 10.4, 30.8 and 35.7 g/day, respectively. With 400 g millet bran per day, ADGs were 40.3, 59.5, 91.7 and 63.4 g/day, for the four levels of groundnut haulms, respectively. Supplementation with 600 g/day of groundnut haulms and 400 g/day of millet bran gave the highest net return.", "author" : [ { "dropping-particle" : "", "family" : "Ayantunde", "given" : "A. A.", "non-dropping-particle" : "", "parse-names" : false, "suffix" : "" }, { "dropping-particle" : "", "family" : "Fernandez-rivera", "given" : "S.", "non-dropping-particle" : "", "parse-names" : false, "suffix" : "" }, { "dropping-particle" : "", "family" : "Dan-Gomma", "given" : "A", "non-dropping-particle" : "", "parse-names" : false, "suffix" : "" } ], "container-title" : "Revue \u00c9lev. M\u00e9d. v\u00e9t. Pays trop.", "id" : "ITEM-2", "issue" : "3-4", "issued" : { "date-parts" : [ [ "2008" ] ] }, "page" : "215-220", "title" : "Sheep Fattening with Groundnut Haulms and Millet Bran in the West African Sahel", "type" : "article-journal", "volume" : "61" }, "uris" : [ "http://www.mendeley.com/documents/?uuid=913d0d49-0c47-4b9f-82c7-ec1b7654e9d7" ] }, { "id" : "ITEM-3", "itemData" : { "DOI" : "10.3389/fpls.2017.00030", "ISSN" : "1664-462X", "PMID" : "28197154", "author" : [ { "dropping-particle" : "", "family" : "Samireddypalle", "given" : "Anandan", "non-dropping-particle" : "", "parse-names" : false, "suffix" : "" }, { "dropping-particle" : "", "family" : "Boukar", "given" : "Ousmane", "non-dropping-particle" : "", "parse-names" : false, "suffix" : "" }, { "dropping-particle" : "", "family" : "Grings", "given" : "Elaine", "non-dropping-particle" : "", "parse-names" : false, "suffix" : "" }, { "dropping-particle" : "", "family" : "Fatokun", "given" : "Christian A.", "non-dropping-particle" : "", "parse-names" : false, "suffix" : "" }, { "dropping-particle" : "", "family" : "Kodukula", "given" : "Prasad", "non-dropping-particle" : "", "parse-names" : false, "suffix" : "" }, { "dropping-particle" : "", "family" : "Devulapalli", "given" : "Ravi", "non-dropping-particle" : "", "parse-names" : false, "suffix" : "" }, { "dropping-particle" : "", "family" : "Okike", "given" : "Iheanacho", "non-dropping-particle" : "", "parse-names" : false, "suffix" : "" }, { "dropping-particle" : "", "family" : "Bl\u00fcmmel", "given" : "Michael", "non-dropping-particle" : "", "parse-names" : false, "suffix" : "" } ], "container-title" : "Frontiers in Plant Science", "id" : "ITEM-3", "issue" : "January", "issued" : { "date-parts" : [ [ "2017" ] ] }, "page" : "1-9", "title" : "Cowpea and Groundnut Haulms Fodder Trading and Its Lessons for Multidimensional Cowpea Improvement for Mixed Crop Livestock Systems in West Africa", "type" : "article-journal", "volume" : "08" }, "uris" : [ "http://www.mendeley.com/documents/?uuid=f99db8d8-4494-4b22-9927-0e38542cc29a" ] } ], "mendeley" : { "formattedCitation" : "(Ayantunde et al., 2008, 2007; Samireddypalle et al., 2017)", "plainTextFormattedCitation" : "(Ayantunde et al., 2008, 2007; Samireddypalle et al., 2017)", "previouslyFormattedCitation" : "(Ayantunde et al., 2008, 2007; Samireddypalle et al., 2017)" }, "properties" : { "noteIndex" : 0 }, "schema" : "https://github.com/citation-style-language/schema/raw/master/csl-citation.json" }</w:instrText>
      </w:r>
      <w:r w:rsidR="00566A66">
        <w:fldChar w:fldCharType="separate"/>
      </w:r>
      <w:r w:rsidR="00566A66" w:rsidRPr="00566A66">
        <w:rPr>
          <w:noProof/>
        </w:rPr>
        <w:t>(Ayantunde et al., 2008, 2007; Samireddypalle et al., 2017)</w:t>
      </w:r>
      <w:r w:rsidR="00566A66">
        <w:fldChar w:fldCharType="end"/>
      </w:r>
      <w:r w:rsidR="00566A66">
        <w:t xml:space="preserve"> and South Asia </w:t>
      </w:r>
      <w:r w:rsidR="00566A66">
        <w:fldChar w:fldCharType="begin" w:fldLock="1"/>
      </w:r>
      <w:r w:rsidR="00606C50">
        <w:instrText>ADDIN CSL_CITATION { "citationItems" : [ { "id" : "ITEM-1", "itemData" : { "ISBN" : "978-92-9066-539-7", "author" : [ { "dropping-particle" : "", "family" : "Birthal", "given" : "P S", "non-dropping-particle" : "", "parse-names" : false, "suffix" : "" }, { "dropping-particle" : "", "family" : "Nigam", "given" : "S N", "non-dropping-particle" : "", "parse-names" : false, "suffix" : "" }, { "dropping-particle" : "V", "family" : "Narayanan", "given" : "A", "non-dropping-particle" : "", "parse-names" : false, "suffix" : "" }, { "dropping-particle" : "", "family" : "Kareem", "given" : "K A", "non-dropping-particle" : "", "parse-names" : false, "suffix" : "" } ], "collection-title" : "Research Bulletin", "id" : "ITEM-1", "issue" : "25", "issued" : { "date-parts" : [ [ "2011" ] ] }, "number-of-pages" : "1-36", "publisher" : "ICRISAT", "publisher-place" : "Patancheru, India", "title" : "An economic assessment of the potential benefits of breeding for drought tolerance in crops: A case of groundnut in India", "type" : "book" }, "uris" : [ "http://www.mendeley.com/documents/?uuid=c0020cc7-3c4b-47ce-8fbd-8c3fd6fe70f4" ] } ], "mendeley" : { "formattedCitation" : "(Birthal et al., 2011)", "plainTextFormattedCitation" : "(Birthal et al., 2011)", "previouslyFormattedCitation" : "(Birthal et al., 2011)" }, "properties" : { "noteIndex" : 0 }, "schema" : "https://github.com/citation-style-language/schema/raw/master/csl-citation.json" }</w:instrText>
      </w:r>
      <w:r w:rsidR="00566A66">
        <w:fldChar w:fldCharType="separate"/>
      </w:r>
      <w:r w:rsidR="00AD717B" w:rsidRPr="00AD717B">
        <w:rPr>
          <w:noProof/>
        </w:rPr>
        <w:t>(Birthal et al., 2011)</w:t>
      </w:r>
      <w:r w:rsidR="00566A66">
        <w:fldChar w:fldCharType="end"/>
      </w:r>
      <w:r w:rsidR="00AD717B">
        <w:t>. Consequently, ICRSAT and ILRI embarked on selecting superior varieties of groundnut also for their superior yield and nutritive quality of their haulms</w:t>
      </w:r>
      <w:r w:rsidR="005B7D13">
        <w:t>, resulting in the registration and release</w:t>
      </w:r>
      <w:r w:rsidR="005B7D13" w:rsidRPr="005B7D13">
        <w:t xml:space="preserve"> </w:t>
      </w:r>
      <w:r w:rsidR="005B7D13">
        <w:t xml:space="preserve">of the variety ICGV 9114, as one of the first ground-nut varieties developed outside the government crop improvement system in India </w:t>
      </w:r>
      <w:r w:rsidR="00AD717B">
        <w:fldChar w:fldCharType="begin" w:fldLock="1"/>
      </w:r>
      <w:r w:rsidR="005B7D13">
        <w:instrText>ADDIN CSL_CITATION { "citationItems" : [ { "id" : "ITEM-1", "itemData" : { "DOI" : "10.1016/j.fcr.2011.10.004", "ISSN" : "0378-4290", "author" : [ { "dropping-particle" : "", "family" : "Bl\u00fcmmel", "given" : "M.", "non-dropping-particle" : "", "parse-names" : false, "suffix" : "" }, { "dropping-particle" : "", "family" : "Ratnakumar", "given" : "P.", "non-dropping-particle" : "", "parse-names" : false, "suffix" : "" }, { "dropping-particle" : "", "family" : "Vadez", "given" : "V.", "non-dropping-particle" : "", "parse-names" : false, "suffix" : "" } ], "container-title" : "Field Crops Research", "id" : "ITEM-1", "issued" : { "date-parts" : [ [ "2012", "2", "14" ] ] }, "note" : "From Duplicate 1 ( \n\nOpportunities for exploiting variations in haulm fodder traits of intermittent drought tolerant lines in a reference collection of groundnut (Arachis hypogaea L.)\n\n- Bl\u01ecmmel, M; Ratnakumar, P; Vadez, V )\n\n", "page" : "200-206", "publisher" : "Elsevier B.V.", "title" : "Opportunities for exploiting variations in haulm fodder traits of intermittent drought tolerant lines in a reference collection of groundnut (Arachis hypogaea L.)", "type" : "article-journal", "volume" : "126" }, "uris" : [ "http://www.mendeley.com/documents/?uuid=8805afb4-60cd-4ffc-bf60-0d903f068399" ] }, { "id" : "ITEM-2", "itemData" : { "author" : [ { "dropping-particle" : "", "family" : "Nigam", "given" : "SN", "non-dropping-particle" : "", "parse-names" : false, "suffix" : "" }, { "dropping-particle" : "", "family" : "Aruna", "given" : "R", "non-dropping-particle" : "", "parse-names" : false, "suffix" : "" }, { "dropping-particle" : "", "family" : "Yadagiri", "given" : "D", "non-dropping-particle" : "", "parse-names" : false, "suffix" : "" }, { "dropping-particle" : "", "family" : "Reddy", "given" : "TY", "non-dropping-particle" : "", "parse-names" : false, "suffix" : "" }, { "dropping-particle" : "", "family" : "Subramanyam", "given" : "K", "non-dropping-particle" : "", "parse-names" : false, "suffix" : "" }, { "dropping-particle" : "", "family" : "Reddy", "given" : "BRR", "non-dropping-particle" : "", "parse-names" : false, "suffix" : "" }, { "dropping-particle" : "", "family" : "Kareem", "given" : "KA", "non-dropping-particle" : "", "parse-names" : false, "suffix" : "" } ], "container-title" : "Journal of SAT Agricultural Research", "id" : "ITEM-2", "issue" : "1", "issued" : { "date-parts" : [ [ "2005" ] ] }, "page" : "1-3", "title" : "Farmer Participatory Varietal Selection in Groundnut \u2013 A Success Story in Anantapur , Andhra Pradesh , India", "type" : "article-journal", "volume" : "1" }, "uris" : [ "http://www.mendeley.com/documents/?uuid=98546cce-390e-44d9-af64-b272cbd0c5ff" ] }, { "id" : "ITEM-3", "itemData" : { "author" : [ { "dropping-particle" : "", "family" : "Bl\u00fcmmel", "given" : "M", "non-dropping-particle" : "", "parse-names" : false, "suffix" : "" }, { "dropping-particle" : "", "family" : "Reddy", "given" : "Ch Ramakrishna", "non-dropping-particle" : "", "parse-names" : false, "suffix" : "" }, { "dropping-particle" : "", "family" : "Ravi", "given" : "D", "non-dropping-particle" : "", "parse-names" : false, "suffix" : "" } ], "container-title" : "Journal of SAT Agricultural Research", "id" : "ITEM-3", "issue" : "1", "issued" : { "date-parts" : [ [ "2005" ] ] }, "title" : "Utilization Food-Fodder Traits in Groundnut", "type" : "article-journal", "volume" : "1" }, "uris" : [ "http://www.mendeley.com/documents/?uuid=90cad9ff-e3ca-4d7a-a912-f5d7f684f14a" ] }, { "id" : "ITEM-4", "itemData" : { "author" : [ { "dropping-particle" : "", "family" : "ICRISAT", "given" : "", "non-dropping-particle" : "", "parse-names" : false, "suffix" : "" } ], "id" : "ITEM-4", "issued" : { "date-parts" : [ [ "2009" ] ] }, "number-of-pages" : "4", "publisher" : "ICRISAT", "publisher-place" : "Patancheru, India", "title" : "Multi-purpose Groundnuts", "type" : "book" }, "uris" : [ "http://www.mendeley.com/documents/?uuid=0ab5a187-7178-4380-86ec-17673d230964" ] } ], "mendeley" : { "formattedCitation" : "(Bl\u00fcmmel et al., 2012, 2005; ICRISAT, 2009; Nigam et al., 2005)", "plainTextFormattedCitation" : "(Bl\u00fcmmel et al., 2012, 2005; ICRISAT, 2009; Nigam et al., 2005)", "previouslyFormattedCitation" : "(Bl\u00fcmmel et al., 2012, 2005; ICRISAT, 2009; Nigam et al., 2005)" }, "properties" : { "noteIndex" : 0 }, "schema" : "https://github.com/citation-style-language/schema/raw/master/csl-citation.json" }</w:instrText>
      </w:r>
      <w:r w:rsidR="00AD717B">
        <w:fldChar w:fldCharType="separate"/>
      </w:r>
      <w:r w:rsidR="005B7D13" w:rsidRPr="005B7D13">
        <w:rPr>
          <w:noProof/>
        </w:rPr>
        <w:t>(Blümmel et al., 2012, 2005; ICRISAT, 2009; Nigam et al., 2005)</w:t>
      </w:r>
      <w:r w:rsidR="00AD717B">
        <w:fldChar w:fldCharType="end"/>
      </w:r>
      <w:r w:rsidR="00AD717B">
        <w:t xml:space="preserve">. </w:t>
      </w:r>
      <w:r w:rsidR="005B7D13">
        <w:t xml:space="preserve">It was initially promoted especially in the </w:t>
      </w:r>
      <w:r>
        <w:t>South Indian state of Andhra Pradesh</w:t>
      </w:r>
      <w:r w:rsidR="001F1399">
        <w:t xml:space="preserve"> </w:t>
      </w:r>
      <w:r w:rsidR="005B7D13">
        <w:fldChar w:fldCharType="begin" w:fldLock="1"/>
      </w:r>
      <w:r w:rsidR="005B7D13">
        <w:instrText>ADDIN CSL_CITATION { "citationItems" : [ { "id" : "ITEM-1", "itemData" : { "ISSN" : "09713441", "abstract" : "The paper has examined the potential economic benefits from adoption of an improved drought-tolerant variety, viz. ICGV 91114 of groundnut in one of the most drought-prone districts in the semi-arid tropics of India. At farm-level, the variety had 23 per cent yield advantage, required 17 per cent less of variable cost and had 30 per cent less variability in its yield as compared to the ruling variety in the district. At the aggregate level, potential benefits from the adoption of this high-yielding, drought-tolerant variety are substantial. The benefits from the reduced yield variance comprise one-third of the total benefits. At a lower yield advantage and yield variance reduction, the share of risk benefits in the total benefits increase was estimated 46 per cent. Small farmers are more risk-averse; hence they would benefit more from the adoption of improved drought-tolerant varieties. These results are compelling and speak of the need for reorientation of the agricultural research agenda taking into consideration the existing and emerging abiotic stresses, and the development and dissemination of improved drought-tolerant technologies, crops and their varieties so as to enhance resilience of agriculture and adaptive capacity of farmers to cope with the risks of extreme climatic events ex-ante. [ABSTRACT FROM AUTHOR]", "author" : [ { "dropping-particle" : "", "family" : "Birthal", "given" : "Pratap S", "non-dropping-particle" : "", "parse-names" : false, "suffix" : "" }, { "dropping-particle" : "", "family" : "Nigam", "given" : "Shyam N", "non-dropping-particle" : "", "parse-names" : false, "suffix" : "" }, { "dropping-particle" : "V", "family" : "Narayanan", "given" : "A", "non-dropping-particle" : "", "parse-names" : false, "suffix" : "" }, { "dropping-particle" : "", "family" : "Kareem", "given" : "K A", "non-dropping-particle" : "", "parse-names" : false, "suffix" : "" } ], "container-title" : "Agricultural Economics Research Review", "id" : "ITEM-1", "issue" : "1", "issued" : { "date-parts" : [ [ "2012" ] ] }, "page" : "1-14", "title" : "Potential Economic Benefits from Adoption of Improved Drought-tolerant Groundnut in India.", "type" : "article-journal", "volume" : "25" }, "uris" : [ "http://www.mendeley.com/documents/?uuid=d62e714e-a020-432b-8f5f-e6a33b295e78" ] }, { "id" : "ITEM-2", "itemData" : { "abstract" : "NT2357", "author" : [ { "dropping-particle" : "", "family" : "Teufel", "given" : "N", "non-dropping-particle" : "", "parse-names" : false, "suffix" : "" }, { "dropping-particle" : "", "family" : "Johnson", "given" : "N", "non-dropping-particle" : "", "parse-names" : false, "suffix" : "" }, { "dropping-particle" : "", "family" : "Singh", "given" : "D K", "non-dropping-particle" : "", "parse-names" : false, "suffix" : "" } ], "container-title" : "7th Asian Society of Agricultural Economists (ASAE) International Conference 13-15/10/2011", "id" : "ITEM-2", "issued" : { "date-parts" : [ [ "2011" ] ] }, "note" : "Paper presentated at the 7th ASAE conference, 13-15//2011, Hanoi", "publisher-place" : "Hanoi, Vietnam", "title" : "The adoption and impact of an improved drought-tolerant, dual-purpose groundnut variety in Southern India", "type" : "paper-conference" }, "uris" : [ "http://www.mendeley.com/documents/?uuid=47c90135-284b-4cc8-996c-dec419faef89" ] } ], "mendeley" : { "formattedCitation" : "(Birthal et al., 2012; Teufel et al., 2011)", "plainTextFormattedCitation" : "(Birthal et al., 2012; Teufel et al., 2011)", "previouslyFormattedCitation" : "(Birthal et al., 2012; Teufel et al., 2011)" }, "properties" : { "noteIndex" : 0 }, "schema" : "https://github.com/citation-style-language/schema/raw/master/csl-citation.json" }</w:instrText>
      </w:r>
      <w:r w:rsidR="005B7D13">
        <w:fldChar w:fldCharType="separate"/>
      </w:r>
      <w:r w:rsidR="005B7D13" w:rsidRPr="005B7D13">
        <w:rPr>
          <w:noProof/>
        </w:rPr>
        <w:t>(Birthal et al., 2012; Teufel et al., 2011)</w:t>
      </w:r>
      <w:r w:rsidR="005B7D13">
        <w:fldChar w:fldCharType="end"/>
      </w:r>
      <w:r>
        <w:t>.</w:t>
      </w:r>
    </w:p>
    <w:p w14:paraId="17FFD962" w14:textId="00953A05" w:rsidR="00E60C2E" w:rsidRDefault="005B7D13" w:rsidP="00E60C2E">
      <w:pPr>
        <w:pStyle w:val="BodyText"/>
      </w:pPr>
      <w:r>
        <w:t xml:space="preserve">However, despite obvious productivity benefits and </w:t>
      </w:r>
      <w:r w:rsidR="00E60C2E">
        <w:t>considerable investments in seed distribution</w:t>
      </w:r>
      <w:r w:rsidR="008D107C">
        <w:t>,</w:t>
      </w:r>
      <w:r>
        <w:t xml:space="preserve"> adoption </w:t>
      </w:r>
      <w:r w:rsidR="008D107C">
        <w:t xml:space="preserve">in the initial focus areas </w:t>
      </w:r>
      <w:r>
        <w:t>was limited.</w:t>
      </w:r>
      <w:r w:rsidR="00E60C2E">
        <w:t xml:space="preserve"> </w:t>
      </w:r>
      <w:r>
        <w:t>A</w:t>
      </w:r>
      <w:r w:rsidR="00E60C2E">
        <w:t>doption rates calculated from distributed seed volumes for</w:t>
      </w:r>
      <w:r>
        <w:t xml:space="preserve"> the </w:t>
      </w:r>
      <w:r w:rsidR="00E60C2E">
        <w:t>district</w:t>
      </w:r>
      <w:r>
        <w:t xml:space="preserve"> </w:t>
      </w:r>
      <w:proofErr w:type="spellStart"/>
      <w:r>
        <w:t>Anantapur</w:t>
      </w:r>
      <w:proofErr w:type="spellEnd"/>
      <w:r w:rsidR="00E60C2E">
        <w:t xml:space="preserve"> in Andhra Pradesh, which had been targeted for dissemination because of the importance of groundnut there, were difficult to validate </w:t>
      </w:r>
      <w:r>
        <w:t>by</w:t>
      </w:r>
      <w:r w:rsidR="00E60C2E">
        <w:t xml:space="preserve"> survey</w:t>
      </w:r>
      <w:r>
        <w:t xml:space="preserve"> </w:t>
      </w:r>
      <w:r>
        <w:fldChar w:fldCharType="begin" w:fldLock="1"/>
      </w:r>
      <w:r w:rsidR="00CF3E04">
        <w:instrText>ADDIN CSL_CITATION { "citationItems" : [ { "id" : "ITEM-1", "itemData" : { "abstract" : "NT2357", "author" : [ { "dropping-particle" : "", "family" : "Teufel", "given" : "N", "non-dropping-particle" : "", "parse-names" : false, "suffix" : "" }, { "dropping-particle" : "", "family" : "Johnson", "given" : "N", "non-dropping-particle" : "", "parse-names" : false, "suffix" : "" }, { "dropping-particle" : "", "family" : "Singh", "given" : "D K", "non-dropping-particle" : "", "parse-names" : false, "suffix" : "" } ], "container-title" : "7th Asian Society of Agricultural Economists (ASAE) International Conference 13-15/10/2011", "id" : "ITEM-1", "issued" : { "date-parts" : [ [ "2011" ] ] }, "note" : "Paper presentated at the 7th ASAE conference, 13-15//2011, Hanoi", "publisher-place" : "Hanoi, Vietnam", "title" : "The adoption and impact of an improved drought-tolerant, dual-purpose groundnut variety in Southern India", "type" : "paper-conference" }, "uris" : [ "http://www.mendeley.com/documents/?uuid=47c90135-284b-4cc8-996c-dec419faef89" ] } ], "mendeley" : { "formattedCitation" : "(Teufel et al., 2011)", "plainTextFormattedCitation" : "(Teufel et al., 2011)", "previouslyFormattedCitation" : "(Teufel et al., 2011)" }, "properties" : { "noteIndex" : 0 }, "schema" : "https://github.com/citation-style-language/schema/raw/master/csl-citation.json" }</w:instrText>
      </w:r>
      <w:r>
        <w:fldChar w:fldCharType="separate"/>
      </w:r>
      <w:r w:rsidRPr="005B7D13">
        <w:rPr>
          <w:noProof/>
        </w:rPr>
        <w:t>(Teufel et al., 2011)</w:t>
      </w:r>
      <w:r>
        <w:fldChar w:fldCharType="end"/>
      </w:r>
      <w:r w:rsidR="00E60C2E">
        <w:t>. It appeared that because</w:t>
      </w:r>
      <w:r w:rsidR="00E60C2E" w:rsidRPr="00130092">
        <w:t xml:space="preserve"> </w:t>
      </w:r>
      <w:r w:rsidR="00E60C2E">
        <w:t>groundnut seed distribution was often linked to other government support systems (e.g. crop insurance)</w:t>
      </w:r>
      <w:r w:rsidR="00700E9B">
        <w:t xml:space="preserve"> and</w:t>
      </w:r>
      <w:r w:rsidR="00E60C2E">
        <w:t xml:space="preserve"> the government</w:t>
      </w:r>
      <w:r w:rsidR="00700E9B">
        <w:t>’s</w:t>
      </w:r>
      <w:r w:rsidR="00E60C2E">
        <w:t xml:space="preserve"> preference </w:t>
      </w:r>
      <w:r w:rsidR="00700E9B">
        <w:t xml:space="preserve">of </w:t>
      </w:r>
      <w:r w:rsidR="00E60C2E">
        <w:t>varieties from its own crop improvement programme</w:t>
      </w:r>
      <w:r w:rsidR="00700E9B">
        <w:t>,</w:t>
      </w:r>
      <w:r w:rsidR="00E60C2E">
        <w:t xml:space="preserve"> the</w:t>
      </w:r>
      <w:r w:rsidR="00D62A54">
        <w:t xml:space="preserve"> dissemination</w:t>
      </w:r>
      <w:r w:rsidR="00E60C2E">
        <w:t xml:space="preserve"> opportunities for alternative varieties</w:t>
      </w:r>
      <w:r w:rsidR="00D62A54">
        <w:t xml:space="preserve"> were limited</w:t>
      </w:r>
      <w:r>
        <w:t xml:space="preserve"> </w:t>
      </w:r>
      <w:r>
        <w:fldChar w:fldCharType="begin" w:fldLock="1"/>
      </w:r>
      <w:r>
        <w:instrText>ADDIN CSL_CITATION { "citationItems" : [ { "id" : "ITEM-1", "itemData" : { "abstract" : "NT2357", "author" : [ { "dropping-particle" : "", "family" : "Teufel", "given" : "N", "non-dropping-particle" : "", "parse-names" : false, "suffix" : "" }, { "dropping-particle" : "", "family" : "Johnson", "given" : "N", "non-dropping-particle" : "", "parse-names" : false, "suffix" : "" }, { "dropping-particle" : "", "family" : "Singh", "given" : "D K", "non-dropping-particle" : "", "parse-names" : false, "suffix" : "" } ], "container-title" : "7th Asian Society of Agricultural Economists (ASAE) International Conference 13-15/10/2011", "id" : "ITEM-1", "issued" : { "date-parts" : [ [ "2011" ] ] }, "note" : "Paper presentated at the 7th ASAE conference, 13-15//2011, Hanoi", "publisher-place" : "Hanoi, Vietnam", "title" : "The adoption and impact of an improved drought-tolerant, dual-purpose groundnut variety in Southern India", "type" : "paper-conference" }, "uris" : [ "http://www.mendeley.com/documents/?uuid=47c90135-284b-4cc8-996c-dec419faef89" ] } ], "mendeley" : { "formattedCitation" : "(Teufel et al., 2011)", "plainTextFormattedCitation" : "(Teufel et al., 2011)", "previouslyFormattedCitation" : "(Teufel et al., 2011)" }, "properties" : { "noteIndex" : 0 }, "schema" : "https://github.com/citation-style-language/schema/raw/master/csl-citation.json" }</w:instrText>
      </w:r>
      <w:r>
        <w:fldChar w:fldCharType="separate"/>
      </w:r>
      <w:r w:rsidRPr="005B7D13">
        <w:rPr>
          <w:noProof/>
        </w:rPr>
        <w:t>(Teufel et al., 2011)</w:t>
      </w:r>
      <w:r>
        <w:fldChar w:fldCharType="end"/>
      </w:r>
      <w:r w:rsidR="00E60C2E">
        <w:t xml:space="preserve">. </w:t>
      </w:r>
      <w:r w:rsidR="00D62A54">
        <w:t>In addition</w:t>
      </w:r>
      <w:r w:rsidR="00E60C2E">
        <w:t>, promotin</w:t>
      </w:r>
      <w:r w:rsidR="00D62A54">
        <w:t>g</w:t>
      </w:r>
      <w:r>
        <w:t xml:space="preserve"> </w:t>
      </w:r>
      <w:r w:rsidR="00E60C2E">
        <w:t>a new cash crop variety</w:t>
      </w:r>
      <w:r w:rsidR="00D62A54">
        <w:t xml:space="preserve"> not only for yield increases but</w:t>
      </w:r>
      <w:r w:rsidR="00E60C2E">
        <w:t xml:space="preserve"> </w:t>
      </w:r>
      <w:r w:rsidR="00D62A54">
        <w:t>for feed</w:t>
      </w:r>
      <w:r w:rsidR="00E60C2E">
        <w:t xml:space="preserve"> quality of its residues </w:t>
      </w:r>
      <w:r>
        <w:t>was</w:t>
      </w:r>
      <w:r w:rsidR="00E60C2E">
        <w:t xml:space="preserve"> a novel concept for most stakeholders involved in </w:t>
      </w:r>
      <w:r w:rsidR="00D62A54">
        <w:t>groundnut</w:t>
      </w:r>
      <w:r w:rsidR="00E60C2E">
        <w:t xml:space="preserve"> improvement programmes.</w:t>
      </w:r>
    </w:p>
    <w:p w14:paraId="4D4351ED" w14:textId="544308D7" w:rsidR="00E60C2E" w:rsidRDefault="00E60C2E" w:rsidP="00E60C2E">
      <w:pPr>
        <w:pStyle w:val="BodyText"/>
      </w:pPr>
      <w:r>
        <w:t xml:space="preserve">Recently however, reports from neighbouring states have indicated a renewed interest in this variety. Seed sales through various government agencies appear to have increased considerably, especially in </w:t>
      </w:r>
      <w:r w:rsidR="005B7D13">
        <w:t xml:space="preserve">the state of </w:t>
      </w:r>
      <w:r>
        <w:t>Odisha</w:t>
      </w:r>
      <w:r w:rsidR="008D107C">
        <w:t xml:space="preserve"> in east</w:t>
      </w:r>
      <w:r w:rsidR="00D62A54">
        <w:t>ern India</w:t>
      </w:r>
      <w:r>
        <w:t xml:space="preserve">. This provides an important opportunity to </w:t>
      </w:r>
      <w:r w:rsidR="005B7D13">
        <w:t xml:space="preserve">gain a </w:t>
      </w:r>
      <w:r>
        <w:t xml:space="preserve">better </w:t>
      </w:r>
      <w:r w:rsidR="005B7D13">
        <w:t xml:space="preserve">understanding of </w:t>
      </w:r>
      <w:r w:rsidR="008D107C">
        <w:t>major</w:t>
      </w:r>
      <w:r w:rsidR="005B7D13">
        <w:t xml:space="preserve"> supporting and limiting factors</w:t>
      </w:r>
      <w:r w:rsidR="00437BFD">
        <w:t xml:space="preserve"> at</w:t>
      </w:r>
      <w:r>
        <w:t xml:space="preserve"> various stages of dissemination and adoption of a superior dual-purpose crop variety.</w:t>
      </w:r>
    </w:p>
    <w:p w14:paraId="1256ACBA" w14:textId="0A4A2E2E" w:rsidR="00437BFD" w:rsidRDefault="00437BFD" w:rsidP="00E60C2E">
      <w:pPr>
        <w:pStyle w:val="BodyText"/>
      </w:pPr>
      <w:r>
        <w:t xml:space="preserve">The </w:t>
      </w:r>
      <w:r w:rsidR="0061229E">
        <w:t>main investigation</w:t>
      </w:r>
      <w:r>
        <w:t xml:space="preserve"> levels and stakeholders to be included in this study will be </w:t>
      </w:r>
    </w:p>
    <w:p w14:paraId="692500FB" w14:textId="4E1E82CA" w:rsidR="00437BFD" w:rsidRDefault="00437BFD" w:rsidP="00F24C25">
      <w:pPr>
        <w:pStyle w:val="ListBullet"/>
      </w:pPr>
      <w:r>
        <w:t>government crop improvement and development programmes (including extension systems)</w:t>
      </w:r>
      <w:r w:rsidR="00F24C25">
        <w:t>,</w:t>
      </w:r>
      <w:r>
        <w:t xml:space="preserve"> providing support to specific varieties</w:t>
      </w:r>
      <w:r w:rsidR="008D107C">
        <w:t xml:space="preserve"> and the framework for other stakeholders</w:t>
      </w:r>
    </w:p>
    <w:p w14:paraId="593A2A30" w14:textId="3C8F28ED" w:rsidR="00437BFD" w:rsidRDefault="00437BFD" w:rsidP="00F24C25">
      <w:pPr>
        <w:pStyle w:val="ListBullet"/>
      </w:pPr>
      <w:r>
        <w:t>seed multiplication and dissemination organisations (government, NGO, private-sector, informal)</w:t>
      </w:r>
      <w:r w:rsidR="00F24C25">
        <w:t>,</w:t>
      </w:r>
      <w:r>
        <w:t xml:space="preserve"> ensuring seed availability</w:t>
      </w:r>
    </w:p>
    <w:p w14:paraId="2B68EDD7" w14:textId="7C8B8443" w:rsidR="00437BFD" w:rsidRDefault="00437BFD" w:rsidP="00F24C25">
      <w:pPr>
        <w:pStyle w:val="ListBullet"/>
      </w:pPr>
      <w:r>
        <w:t>seed sales and pricing</w:t>
      </w:r>
      <w:r w:rsidR="00F24C25">
        <w:t>,</w:t>
      </w:r>
      <w:r w:rsidR="0061229E">
        <w:t xml:space="preserve"> determining seed access </w:t>
      </w:r>
      <w:r w:rsidR="00F24C25">
        <w:t>by</w:t>
      </w:r>
      <w:r w:rsidR="0061229E">
        <w:t xml:space="preserve"> farmers</w:t>
      </w:r>
    </w:p>
    <w:p w14:paraId="7BEA273E" w14:textId="0F5DF601" w:rsidR="0061229E" w:rsidRDefault="0061229E" w:rsidP="00F24C25">
      <w:pPr>
        <w:pStyle w:val="ListBullet"/>
      </w:pPr>
      <w:r>
        <w:t>groundnut</w:t>
      </w:r>
      <w:r w:rsidR="00437BFD">
        <w:t xml:space="preserve"> buyers &amp; oil millers</w:t>
      </w:r>
      <w:r w:rsidR="00F24C25">
        <w:t>,</w:t>
      </w:r>
      <w:r>
        <w:t xml:space="preserve"> creating demand for specific qualities and varieties</w:t>
      </w:r>
    </w:p>
    <w:p w14:paraId="5C5B78D2" w14:textId="22B33AFD" w:rsidR="00437BFD" w:rsidRDefault="00437BFD" w:rsidP="00F24C25">
      <w:pPr>
        <w:pStyle w:val="ListBullet"/>
      </w:pPr>
      <w:r>
        <w:t xml:space="preserve">groundnut farmers and </w:t>
      </w:r>
      <w:r w:rsidR="0061229E">
        <w:t>their</w:t>
      </w:r>
      <w:r>
        <w:t xml:space="preserve"> organisations</w:t>
      </w:r>
      <w:r w:rsidR="00F24C25">
        <w:t>,</w:t>
      </w:r>
      <w:r w:rsidR="0061229E">
        <w:t xml:space="preserve"> deciding which varieties to adopt</w:t>
      </w:r>
    </w:p>
    <w:p w14:paraId="7C4DF0DE" w14:textId="77777777" w:rsidR="00E60C2E" w:rsidRDefault="00E60C2E" w:rsidP="004A3495">
      <w:pPr>
        <w:pStyle w:val="Heading2"/>
      </w:pPr>
      <w:r>
        <w:t>Objectives</w:t>
      </w:r>
    </w:p>
    <w:p w14:paraId="551E6E2E" w14:textId="086C002D" w:rsidR="00E60C2E" w:rsidRDefault="0061229E" w:rsidP="00F24C25">
      <w:pPr>
        <w:pStyle w:val="ListBullet"/>
      </w:pPr>
      <w:r>
        <w:t>Establish a framework to investigate and better understand context factors and farmer decisions on adopting superior dual-purpose crop varieties</w:t>
      </w:r>
    </w:p>
    <w:p w14:paraId="318DEB9F" w14:textId="038C6058" w:rsidR="0061229E" w:rsidRDefault="0061229E" w:rsidP="00F24C25">
      <w:pPr>
        <w:pStyle w:val="ListBullet"/>
      </w:pPr>
      <w:r>
        <w:t>Quantify current adoption patterns of ICGV</w:t>
      </w:r>
      <w:r w:rsidR="008D107C">
        <w:t xml:space="preserve"> </w:t>
      </w:r>
      <w:r>
        <w:t>91114 in Odisha</w:t>
      </w:r>
    </w:p>
    <w:p w14:paraId="0A415BD0" w14:textId="1F3EC487" w:rsidR="0061229E" w:rsidRDefault="0061229E" w:rsidP="00F24C25">
      <w:pPr>
        <w:pStyle w:val="ListBullet"/>
      </w:pPr>
      <w:r>
        <w:t xml:space="preserve">Determine the </w:t>
      </w:r>
      <w:r w:rsidR="00F24C25">
        <w:t xml:space="preserve">institutional and other </w:t>
      </w:r>
      <w:r>
        <w:t>context factors supporting and limiting the dissemination of these context factors for the case of ICGV91114 in Odisha</w:t>
      </w:r>
    </w:p>
    <w:p w14:paraId="2B55EE44" w14:textId="586A72BC" w:rsidR="0061229E" w:rsidRDefault="0061229E" w:rsidP="00F24C25">
      <w:pPr>
        <w:pStyle w:val="ListBullet"/>
      </w:pPr>
      <w:r>
        <w:t xml:space="preserve">Identify major </w:t>
      </w:r>
      <w:r w:rsidR="00F24C25">
        <w:t xml:space="preserve">community- and household-level </w:t>
      </w:r>
      <w:r>
        <w:t>characteristics contributing to farmers’ decision on the adoption of ICGV91114</w:t>
      </w:r>
      <w:r w:rsidR="00F24C25">
        <w:t>.</w:t>
      </w:r>
    </w:p>
    <w:p w14:paraId="0B75CC88" w14:textId="77777777" w:rsidR="00E60C2E" w:rsidRDefault="00E60C2E" w:rsidP="004A3495">
      <w:pPr>
        <w:pStyle w:val="Heading2"/>
      </w:pPr>
      <w:r>
        <w:lastRenderedPageBreak/>
        <w:t>Proposed activities</w:t>
      </w:r>
    </w:p>
    <w:p w14:paraId="1B076168" w14:textId="58BB7F17" w:rsidR="00E60C2E" w:rsidRDefault="00E60C2E" w:rsidP="00F24C25">
      <w:pPr>
        <w:pStyle w:val="BodyText"/>
        <w:keepNext/>
        <w:keepLines/>
      </w:pPr>
      <w:r>
        <w:t>The activities proposed for this study include</w:t>
      </w:r>
    </w:p>
    <w:p w14:paraId="6D560E6D" w14:textId="278B533E" w:rsidR="00F24C25" w:rsidRPr="003E48B9" w:rsidRDefault="00F24C25" w:rsidP="00D55CCC">
      <w:pPr>
        <w:pStyle w:val="ListBullet2a"/>
      </w:pPr>
      <w:r w:rsidRPr="003E48B9">
        <w:t xml:space="preserve">Establish a value chain analysis framework adjusted to the requirements of the study, i.e. investigating the dual-purpose groundnut </w:t>
      </w:r>
      <w:r w:rsidR="002F41DD" w:rsidRPr="003E48B9">
        <w:t xml:space="preserve">value chain with a focus on </w:t>
      </w:r>
      <w:r w:rsidRPr="003E48B9">
        <w:t xml:space="preserve">seed </w:t>
      </w:r>
      <w:r w:rsidR="002F41DD" w:rsidRPr="003E48B9">
        <w:t>dissemination and adoption</w:t>
      </w:r>
    </w:p>
    <w:p w14:paraId="57FB2DFB" w14:textId="75C31977" w:rsidR="00F24C25" w:rsidRDefault="00F24C25" w:rsidP="00D55CCC">
      <w:pPr>
        <w:pStyle w:val="ListBullet2a"/>
      </w:pPr>
      <w:r>
        <w:t>Identify representatives of major stakeholders in the groundnut seed, production and processing systems for inclusion in the value chain analysis</w:t>
      </w:r>
    </w:p>
    <w:p w14:paraId="55D6161E" w14:textId="081F8920" w:rsidR="002F41DD" w:rsidRDefault="002F41DD" w:rsidP="00D55CCC">
      <w:pPr>
        <w:pStyle w:val="ListBullet2a"/>
      </w:pPr>
      <w:r>
        <w:t>Implement the dual-purpose groundnut value chain analysis</w:t>
      </w:r>
      <w:r w:rsidRPr="002F41DD">
        <w:t xml:space="preserve"> </w:t>
      </w:r>
      <w:r>
        <w:t>covering the seed</w:t>
      </w:r>
      <w:r w:rsidR="00D62A54">
        <w:t xml:space="preserve"> promotion and</w:t>
      </w:r>
      <w:r>
        <w:t xml:space="preserve"> dissemination pathways through various public and private channels</w:t>
      </w:r>
      <w:r w:rsidR="00D62A54">
        <w:t>,</w:t>
      </w:r>
      <w:r>
        <w:t xml:space="preserve"> </w:t>
      </w:r>
      <w:r w:rsidR="00D62A54">
        <w:t xml:space="preserve">including a retrospective analysis of various promotion decisions </w:t>
      </w:r>
      <w:r>
        <w:t>(data collection, analysis and synthesis)</w:t>
      </w:r>
      <w:r w:rsidR="00D62A54">
        <w:t>.</w:t>
      </w:r>
    </w:p>
    <w:p w14:paraId="58B4EF14" w14:textId="2AB714EC" w:rsidR="002F41DD" w:rsidRDefault="002F41DD" w:rsidP="00D55CCC">
      <w:pPr>
        <w:pStyle w:val="ListBullet2a"/>
      </w:pPr>
      <w:r>
        <w:t xml:space="preserve">Develop a sampling frame </w:t>
      </w:r>
      <w:r w:rsidR="00961D2E">
        <w:t xml:space="preserve">and analysis design </w:t>
      </w:r>
      <w:r>
        <w:t xml:space="preserve">for the state of Odisha for a community-level survey of groundnut variety adoption, considering </w:t>
      </w:r>
      <w:r w:rsidR="00D62A54">
        <w:t>the heterogeneity of expected</w:t>
      </w:r>
      <w:r>
        <w:t xml:space="preserve"> adoption as well as institutional and production environments.</w:t>
      </w:r>
    </w:p>
    <w:p w14:paraId="1980EF57" w14:textId="7F435113" w:rsidR="0061229E" w:rsidRDefault="002F41DD" w:rsidP="00D55CCC">
      <w:pPr>
        <w:pStyle w:val="ListBullet2a"/>
      </w:pPr>
      <w:r>
        <w:t xml:space="preserve">Implement a representative community-level adoption survey, collecting data on variety adoption, seed access, variety perceptions, production systems, market integration. </w:t>
      </w:r>
      <w:r w:rsidR="008616B8">
        <w:t>In previous work on groundnut variety adoption, all major stakeholders (seed distributors, farmers, buyers and oil producers) were confident in being able to identify specific varieties.</w:t>
      </w:r>
    </w:p>
    <w:p w14:paraId="05309A31" w14:textId="4CAA5C07" w:rsidR="00E60C2E" w:rsidRDefault="002F41DD" w:rsidP="00D55CCC">
      <w:pPr>
        <w:pStyle w:val="ListBullet2a"/>
      </w:pPr>
      <w:r>
        <w:t xml:space="preserve">Determination of representative adoption rates as well as analysis of significant community and household characteristics affecting </w:t>
      </w:r>
      <w:r w:rsidR="009D0466">
        <w:t xml:space="preserve">the </w:t>
      </w:r>
      <w:r>
        <w:t>adoption</w:t>
      </w:r>
      <w:r w:rsidR="009D0466">
        <w:t xml:space="preserve"> process, including </w:t>
      </w:r>
      <w:proofErr w:type="spellStart"/>
      <w:r w:rsidR="009D0466">
        <w:t>disadoption</w:t>
      </w:r>
      <w:proofErr w:type="spellEnd"/>
      <w:r>
        <w:t>.</w:t>
      </w:r>
      <w:r w:rsidR="008616B8" w:rsidRPr="008616B8">
        <w:t xml:space="preserve"> </w:t>
      </w:r>
    </w:p>
    <w:p w14:paraId="09C2C599" w14:textId="77777777" w:rsidR="00E60C2E" w:rsidRDefault="00E60C2E" w:rsidP="004A3495">
      <w:pPr>
        <w:pStyle w:val="Heading2"/>
      </w:pPr>
      <w:r>
        <w:t>Project outputs</w:t>
      </w:r>
    </w:p>
    <w:p w14:paraId="4B6EA5D0" w14:textId="4AAE487C" w:rsidR="009167D9" w:rsidRDefault="009167D9" w:rsidP="00E60C2E">
      <w:pPr>
        <w:pStyle w:val="BodyText"/>
      </w:pPr>
      <w:r>
        <w:t xml:space="preserve">The value chain analysis of the groundnut seed system in Odisha will identify major factors contributing to </w:t>
      </w:r>
      <w:r w:rsidR="009D0466">
        <w:t xml:space="preserve">the </w:t>
      </w:r>
      <w:r>
        <w:t>successful promotion and dissemination of specific ground varieties</w:t>
      </w:r>
      <w:r w:rsidR="009D0466">
        <w:t xml:space="preserve"> with a focus on</w:t>
      </w:r>
      <w:r>
        <w:t xml:space="preserve"> </w:t>
      </w:r>
      <w:r w:rsidR="009D0466">
        <w:t>t</w:t>
      </w:r>
      <w:r>
        <w:t xml:space="preserve">he particular aspects of dual-purpose varieties. These major factors will relate to government policies, institutional capacities, private sector strength and output market demand characteristics, both for groundnut and livestock products. Although each of these factors is hypothesised to significantly contribute to variety adoption, the interactions between the major factors will be of special interest. </w:t>
      </w:r>
      <w:r w:rsidR="009D0466">
        <w:t>Q</w:t>
      </w:r>
      <w:r>
        <w:t xml:space="preserve">ualitative assessment </w:t>
      </w:r>
      <w:r w:rsidR="009D0466">
        <w:t xml:space="preserve">of the data collected from multiple levels of the value chain </w:t>
      </w:r>
      <w:r>
        <w:t xml:space="preserve">will enable deep insights into the complexities and opportunities of the existing groundnut </w:t>
      </w:r>
      <w:r w:rsidR="009D0466">
        <w:t xml:space="preserve">improvement and </w:t>
      </w:r>
      <w:r>
        <w:t>seed system</w:t>
      </w:r>
      <w:r w:rsidR="009D0466">
        <w:t>s</w:t>
      </w:r>
      <w:r>
        <w:t>, especially in regard to dual-purpose varieties.</w:t>
      </w:r>
    </w:p>
    <w:p w14:paraId="10232B3E" w14:textId="1B1F88A7" w:rsidR="00E60C2E" w:rsidRDefault="009167D9" w:rsidP="00E60C2E">
      <w:pPr>
        <w:pStyle w:val="BodyText"/>
      </w:pPr>
      <w:r>
        <w:t xml:space="preserve">The adoption study </w:t>
      </w:r>
      <w:proofErr w:type="spellStart"/>
      <w:r>
        <w:t>of</w:t>
      </w:r>
      <w:r w:rsidR="00E60C2E">
        <w:t>ICG</w:t>
      </w:r>
      <w:r w:rsidR="003E48B9">
        <w:t>V</w:t>
      </w:r>
      <w:proofErr w:type="spellEnd"/>
      <w:r w:rsidR="003E48B9">
        <w:t xml:space="preserve"> </w:t>
      </w:r>
      <w:r w:rsidR="00E60C2E">
        <w:t>91114 w</w:t>
      </w:r>
      <w:r>
        <w:t>ill</w:t>
      </w:r>
      <w:r w:rsidR="00E60C2E">
        <w:t xml:space="preserve"> provide </w:t>
      </w:r>
      <w:r w:rsidR="00E60C2E" w:rsidRPr="00961D2E">
        <w:t>credible estimates of current adoption</w:t>
      </w:r>
      <w:r w:rsidR="00E60C2E">
        <w:t xml:space="preserve"> </w:t>
      </w:r>
      <w:r w:rsidR="00E60C2E" w:rsidRPr="00961D2E">
        <w:t>rates</w:t>
      </w:r>
      <w:r w:rsidR="00961D2E">
        <w:t xml:space="preserve"> and</w:t>
      </w:r>
      <w:r w:rsidR="00E60C2E">
        <w:t xml:space="preserve"> an up-to-date characterisation of current adoption patterns</w:t>
      </w:r>
      <w:r w:rsidR="00961D2E">
        <w:t>, both geographically and in regard to community- and farm characteristics. Furthermore</w:t>
      </w:r>
      <w:r w:rsidR="00E60C2E">
        <w:t xml:space="preserve">, community-level factors associated with adoption </w:t>
      </w:r>
      <w:r w:rsidR="00961D2E">
        <w:t>linked to</w:t>
      </w:r>
      <w:r w:rsidR="00E60C2E">
        <w:t xml:space="preserve"> the identifi</w:t>
      </w:r>
      <w:r w:rsidR="00961D2E">
        <w:t>ed</w:t>
      </w:r>
      <w:r w:rsidR="00E60C2E">
        <w:t xml:space="preserve"> constraining and supporting aspects of the existing seed systems</w:t>
      </w:r>
      <w:r w:rsidR="00961D2E">
        <w:t xml:space="preserve"> will</w:t>
      </w:r>
      <w:r w:rsidR="00E60C2E">
        <w:t xml:space="preserve"> provide an important contribution to a deeper understanding of how improved dual-purpose crops, a major feed resource in intensifying mixed farming systems for the foreseeable future, can be better disseminated.</w:t>
      </w:r>
    </w:p>
    <w:p w14:paraId="303EA6E4" w14:textId="77777777" w:rsidR="00E60C2E" w:rsidRDefault="00E60C2E" w:rsidP="004A3495">
      <w:pPr>
        <w:pStyle w:val="Heading2"/>
      </w:pPr>
      <w:r>
        <w:lastRenderedPageBreak/>
        <w:t>Calendar of activities</w:t>
      </w:r>
    </w:p>
    <w:p w14:paraId="5D759007" w14:textId="73B33E44" w:rsidR="00961D2E" w:rsidRPr="00961D2E" w:rsidRDefault="00961D2E" w:rsidP="003E48B9">
      <w:pPr>
        <w:pStyle w:val="BodyText"/>
        <w:keepNext/>
        <w:keepLines/>
      </w:pPr>
      <w:r>
        <w:t xml:space="preserve">The proposed </w:t>
      </w:r>
      <w:r w:rsidR="006E578C">
        <w:t>outputs and deliverables</w:t>
      </w:r>
      <w:r>
        <w:t xml:space="preserve"> are planned along the following time-line: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835"/>
        <w:gridCol w:w="1134"/>
        <w:gridCol w:w="926"/>
        <w:gridCol w:w="926"/>
        <w:gridCol w:w="926"/>
        <w:gridCol w:w="926"/>
        <w:gridCol w:w="927"/>
      </w:tblGrid>
      <w:tr w:rsidR="00DA1BF7" w14:paraId="2BD4F432" w14:textId="77777777" w:rsidTr="00686DA7">
        <w:trPr>
          <w:trHeight w:val="340"/>
        </w:trPr>
        <w:tc>
          <w:tcPr>
            <w:tcW w:w="426" w:type="dxa"/>
            <w:tcBorders>
              <w:top w:val="single" w:sz="12" w:space="0" w:color="auto"/>
            </w:tcBorders>
            <w:vAlign w:val="center"/>
          </w:tcPr>
          <w:p w14:paraId="4FBBB856" w14:textId="77777777" w:rsidR="00DA1BF7" w:rsidRDefault="00DA1BF7" w:rsidP="00961D2E">
            <w:pPr>
              <w:pStyle w:val="Tablecentre"/>
            </w:pPr>
          </w:p>
        </w:tc>
        <w:tc>
          <w:tcPr>
            <w:tcW w:w="2835" w:type="dxa"/>
            <w:tcBorders>
              <w:top w:val="single" w:sz="12" w:space="0" w:color="auto"/>
            </w:tcBorders>
            <w:vAlign w:val="center"/>
          </w:tcPr>
          <w:p w14:paraId="6F9BA197" w14:textId="77777777" w:rsidR="00DA1BF7" w:rsidRDefault="00DA1BF7" w:rsidP="00961D2E">
            <w:pPr>
              <w:pStyle w:val="Tableleft"/>
            </w:pPr>
          </w:p>
        </w:tc>
        <w:tc>
          <w:tcPr>
            <w:tcW w:w="1134" w:type="dxa"/>
            <w:tcBorders>
              <w:top w:val="single" w:sz="12" w:space="0" w:color="auto"/>
            </w:tcBorders>
            <w:shd w:val="clear" w:color="auto" w:fill="auto"/>
            <w:vAlign w:val="center"/>
          </w:tcPr>
          <w:p w14:paraId="409322B4" w14:textId="77777777" w:rsidR="00DA1BF7" w:rsidRDefault="00DA1BF7" w:rsidP="006E578C">
            <w:pPr>
              <w:pStyle w:val="Tableleft"/>
            </w:pPr>
          </w:p>
        </w:tc>
        <w:tc>
          <w:tcPr>
            <w:tcW w:w="926" w:type="dxa"/>
            <w:tcBorders>
              <w:top w:val="single" w:sz="12" w:space="0" w:color="auto"/>
              <w:right w:val="dashed" w:sz="12" w:space="0" w:color="auto"/>
            </w:tcBorders>
            <w:vAlign w:val="center"/>
          </w:tcPr>
          <w:p w14:paraId="67A72F2D" w14:textId="1362E333" w:rsidR="00DA1BF7" w:rsidRDefault="00DA1BF7" w:rsidP="00961D2E">
            <w:pPr>
              <w:pStyle w:val="Tablecentre"/>
            </w:pPr>
            <w:r>
              <w:t>Phase I</w:t>
            </w:r>
          </w:p>
        </w:tc>
        <w:tc>
          <w:tcPr>
            <w:tcW w:w="3705" w:type="dxa"/>
            <w:gridSpan w:val="4"/>
            <w:tcBorders>
              <w:top w:val="single" w:sz="12" w:space="0" w:color="auto"/>
              <w:left w:val="dashed" w:sz="12" w:space="0" w:color="auto"/>
            </w:tcBorders>
            <w:vAlign w:val="center"/>
          </w:tcPr>
          <w:p w14:paraId="7C38D875" w14:textId="5B992065" w:rsidR="00DA1BF7" w:rsidRDefault="00DA1BF7" w:rsidP="00961D2E">
            <w:pPr>
              <w:pStyle w:val="Tablecentre"/>
            </w:pPr>
            <w:r>
              <w:t>Phase II</w:t>
            </w:r>
          </w:p>
        </w:tc>
      </w:tr>
      <w:tr w:rsidR="006E578C" w14:paraId="1B2A7610" w14:textId="77777777" w:rsidTr="00DA1BF7">
        <w:trPr>
          <w:trHeight w:val="340"/>
        </w:trPr>
        <w:tc>
          <w:tcPr>
            <w:tcW w:w="426" w:type="dxa"/>
            <w:tcBorders>
              <w:bottom w:val="single" w:sz="12" w:space="0" w:color="auto"/>
            </w:tcBorders>
            <w:vAlign w:val="center"/>
          </w:tcPr>
          <w:p w14:paraId="208BD429" w14:textId="77777777" w:rsidR="006E578C" w:rsidRDefault="006E578C" w:rsidP="00961D2E">
            <w:pPr>
              <w:pStyle w:val="Tablecentre"/>
            </w:pPr>
          </w:p>
        </w:tc>
        <w:tc>
          <w:tcPr>
            <w:tcW w:w="2835" w:type="dxa"/>
            <w:tcBorders>
              <w:bottom w:val="single" w:sz="12" w:space="0" w:color="auto"/>
            </w:tcBorders>
            <w:vAlign w:val="center"/>
          </w:tcPr>
          <w:p w14:paraId="2F56E6DD" w14:textId="3E68A154" w:rsidR="006E578C" w:rsidRDefault="006E578C" w:rsidP="00961D2E">
            <w:pPr>
              <w:pStyle w:val="Tableleft"/>
            </w:pPr>
            <w:r>
              <w:t>Output</w:t>
            </w:r>
          </w:p>
        </w:tc>
        <w:tc>
          <w:tcPr>
            <w:tcW w:w="1134" w:type="dxa"/>
            <w:tcBorders>
              <w:bottom w:val="single" w:sz="12" w:space="0" w:color="auto"/>
            </w:tcBorders>
            <w:shd w:val="clear" w:color="auto" w:fill="auto"/>
            <w:vAlign w:val="center"/>
          </w:tcPr>
          <w:p w14:paraId="3EAE0078" w14:textId="700C80C3" w:rsidR="006E578C" w:rsidRDefault="006E578C" w:rsidP="006E578C">
            <w:pPr>
              <w:pStyle w:val="Tableleft"/>
            </w:pPr>
            <w:r>
              <w:t>Format</w:t>
            </w:r>
          </w:p>
        </w:tc>
        <w:tc>
          <w:tcPr>
            <w:tcW w:w="926" w:type="dxa"/>
            <w:tcBorders>
              <w:bottom w:val="single" w:sz="12" w:space="0" w:color="auto"/>
              <w:right w:val="dashed" w:sz="12" w:space="0" w:color="auto"/>
            </w:tcBorders>
            <w:vAlign w:val="center"/>
          </w:tcPr>
          <w:p w14:paraId="33E36814" w14:textId="03F3E53D" w:rsidR="006E578C" w:rsidRDefault="006E578C" w:rsidP="00961D2E">
            <w:pPr>
              <w:pStyle w:val="Tablecentre"/>
            </w:pPr>
            <w:r>
              <w:t>2017 Q3</w:t>
            </w:r>
          </w:p>
        </w:tc>
        <w:tc>
          <w:tcPr>
            <w:tcW w:w="926" w:type="dxa"/>
            <w:tcBorders>
              <w:left w:val="dashed" w:sz="12" w:space="0" w:color="auto"/>
              <w:bottom w:val="single" w:sz="12" w:space="0" w:color="auto"/>
            </w:tcBorders>
            <w:vAlign w:val="center"/>
          </w:tcPr>
          <w:p w14:paraId="361C9F28" w14:textId="23CA2CB6" w:rsidR="006E578C" w:rsidRDefault="006E578C" w:rsidP="00961D2E">
            <w:pPr>
              <w:pStyle w:val="Tablecentre"/>
            </w:pPr>
            <w:r>
              <w:t xml:space="preserve">2017 </w:t>
            </w:r>
            <w:r w:rsidR="00FD63F9">
              <w:t>Q</w:t>
            </w:r>
            <w:r>
              <w:t>4</w:t>
            </w:r>
          </w:p>
        </w:tc>
        <w:tc>
          <w:tcPr>
            <w:tcW w:w="926" w:type="dxa"/>
            <w:tcBorders>
              <w:bottom w:val="single" w:sz="12" w:space="0" w:color="auto"/>
            </w:tcBorders>
            <w:vAlign w:val="center"/>
          </w:tcPr>
          <w:p w14:paraId="03129DD9" w14:textId="2812AE3D" w:rsidR="006E578C" w:rsidRDefault="006E578C" w:rsidP="00961D2E">
            <w:pPr>
              <w:pStyle w:val="Tablecentre"/>
            </w:pPr>
            <w:r>
              <w:t>2018 Q1</w:t>
            </w:r>
          </w:p>
        </w:tc>
        <w:tc>
          <w:tcPr>
            <w:tcW w:w="926" w:type="dxa"/>
            <w:tcBorders>
              <w:bottom w:val="single" w:sz="12" w:space="0" w:color="auto"/>
            </w:tcBorders>
            <w:vAlign w:val="center"/>
          </w:tcPr>
          <w:p w14:paraId="7C3E38EA" w14:textId="55B2DFEE" w:rsidR="006E578C" w:rsidRDefault="006E578C" w:rsidP="00961D2E">
            <w:pPr>
              <w:pStyle w:val="Tablecentre"/>
            </w:pPr>
            <w:r>
              <w:t>2018 Q2</w:t>
            </w:r>
          </w:p>
        </w:tc>
        <w:tc>
          <w:tcPr>
            <w:tcW w:w="927" w:type="dxa"/>
            <w:tcBorders>
              <w:bottom w:val="single" w:sz="12" w:space="0" w:color="auto"/>
            </w:tcBorders>
            <w:vAlign w:val="center"/>
          </w:tcPr>
          <w:p w14:paraId="7A1A53DB" w14:textId="45581E48" w:rsidR="006E578C" w:rsidRDefault="006E578C" w:rsidP="00961D2E">
            <w:pPr>
              <w:pStyle w:val="Tablecentre"/>
            </w:pPr>
            <w:r>
              <w:t>2018 Q3</w:t>
            </w:r>
          </w:p>
        </w:tc>
      </w:tr>
      <w:tr w:rsidR="006E578C" w14:paraId="7970508F" w14:textId="77777777" w:rsidTr="00D55CCC">
        <w:trPr>
          <w:trHeight w:val="340"/>
        </w:trPr>
        <w:tc>
          <w:tcPr>
            <w:tcW w:w="426" w:type="dxa"/>
            <w:tcBorders>
              <w:top w:val="single" w:sz="12" w:space="0" w:color="auto"/>
            </w:tcBorders>
            <w:vAlign w:val="center"/>
          </w:tcPr>
          <w:p w14:paraId="470011F7" w14:textId="130683D0" w:rsidR="006E578C" w:rsidRDefault="006E578C" w:rsidP="00961D2E">
            <w:pPr>
              <w:pStyle w:val="Tablecentre"/>
            </w:pPr>
            <w:r>
              <w:t>A1</w:t>
            </w:r>
          </w:p>
        </w:tc>
        <w:tc>
          <w:tcPr>
            <w:tcW w:w="2835" w:type="dxa"/>
            <w:tcBorders>
              <w:top w:val="single" w:sz="12" w:space="0" w:color="auto"/>
            </w:tcBorders>
            <w:vAlign w:val="center"/>
          </w:tcPr>
          <w:p w14:paraId="68BE0104" w14:textId="4F01D946" w:rsidR="006E578C" w:rsidRDefault="006E578C" w:rsidP="00961D2E">
            <w:pPr>
              <w:pStyle w:val="Tableleft"/>
            </w:pPr>
            <w:r>
              <w:t>VCA framework</w:t>
            </w:r>
          </w:p>
        </w:tc>
        <w:tc>
          <w:tcPr>
            <w:tcW w:w="1134" w:type="dxa"/>
            <w:tcBorders>
              <w:top w:val="single" w:sz="12" w:space="0" w:color="auto"/>
            </w:tcBorders>
            <w:shd w:val="clear" w:color="auto" w:fill="auto"/>
            <w:vAlign w:val="center"/>
          </w:tcPr>
          <w:p w14:paraId="357B95C6" w14:textId="0D85A189" w:rsidR="006E578C" w:rsidRDefault="006E578C" w:rsidP="006E578C">
            <w:pPr>
              <w:pStyle w:val="Tableleft"/>
            </w:pPr>
            <w:r>
              <w:t>Report</w:t>
            </w:r>
          </w:p>
        </w:tc>
        <w:tc>
          <w:tcPr>
            <w:tcW w:w="926" w:type="dxa"/>
            <w:tcBorders>
              <w:top w:val="single" w:sz="12" w:space="0" w:color="auto"/>
              <w:right w:val="dashed" w:sz="12" w:space="0" w:color="auto"/>
            </w:tcBorders>
            <w:shd w:val="clear" w:color="auto" w:fill="D9D9D9" w:themeFill="background1" w:themeFillShade="D9"/>
            <w:vAlign w:val="center"/>
          </w:tcPr>
          <w:p w14:paraId="5C39D529" w14:textId="3454D4FC" w:rsidR="006E578C" w:rsidRDefault="006E578C" w:rsidP="00961D2E">
            <w:pPr>
              <w:pStyle w:val="Tablecentre"/>
            </w:pPr>
          </w:p>
        </w:tc>
        <w:tc>
          <w:tcPr>
            <w:tcW w:w="926" w:type="dxa"/>
            <w:tcBorders>
              <w:top w:val="single" w:sz="12" w:space="0" w:color="auto"/>
              <w:left w:val="dashed" w:sz="12" w:space="0" w:color="auto"/>
            </w:tcBorders>
            <w:vAlign w:val="center"/>
          </w:tcPr>
          <w:p w14:paraId="31B37683" w14:textId="77777777" w:rsidR="006E578C" w:rsidRDefault="006E578C" w:rsidP="00961D2E">
            <w:pPr>
              <w:pStyle w:val="Tablecentre"/>
            </w:pPr>
          </w:p>
        </w:tc>
        <w:tc>
          <w:tcPr>
            <w:tcW w:w="926" w:type="dxa"/>
            <w:tcBorders>
              <w:top w:val="single" w:sz="12" w:space="0" w:color="auto"/>
            </w:tcBorders>
            <w:vAlign w:val="center"/>
          </w:tcPr>
          <w:p w14:paraId="4CD659A7" w14:textId="77777777" w:rsidR="006E578C" w:rsidRDefault="006E578C" w:rsidP="00961D2E">
            <w:pPr>
              <w:pStyle w:val="Tablecentre"/>
            </w:pPr>
          </w:p>
        </w:tc>
        <w:tc>
          <w:tcPr>
            <w:tcW w:w="926" w:type="dxa"/>
            <w:tcBorders>
              <w:top w:val="single" w:sz="12" w:space="0" w:color="auto"/>
            </w:tcBorders>
            <w:vAlign w:val="center"/>
          </w:tcPr>
          <w:p w14:paraId="563A423E" w14:textId="77777777" w:rsidR="006E578C" w:rsidRDefault="006E578C" w:rsidP="00961D2E">
            <w:pPr>
              <w:pStyle w:val="Tablecentre"/>
            </w:pPr>
          </w:p>
        </w:tc>
        <w:tc>
          <w:tcPr>
            <w:tcW w:w="927" w:type="dxa"/>
            <w:tcBorders>
              <w:top w:val="single" w:sz="12" w:space="0" w:color="auto"/>
            </w:tcBorders>
            <w:vAlign w:val="center"/>
          </w:tcPr>
          <w:p w14:paraId="140C37EA" w14:textId="77777777" w:rsidR="006E578C" w:rsidRDefault="006E578C" w:rsidP="00961D2E">
            <w:pPr>
              <w:pStyle w:val="Tablecentre"/>
            </w:pPr>
          </w:p>
        </w:tc>
      </w:tr>
      <w:tr w:rsidR="006E578C" w14:paraId="19665AEF" w14:textId="77777777" w:rsidTr="00D55CCC">
        <w:trPr>
          <w:trHeight w:val="340"/>
        </w:trPr>
        <w:tc>
          <w:tcPr>
            <w:tcW w:w="426" w:type="dxa"/>
            <w:vAlign w:val="center"/>
          </w:tcPr>
          <w:p w14:paraId="64CF6473" w14:textId="7BFB72D0" w:rsidR="006E578C" w:rsidRDefault="006E578C" w:rsidP="00961D2E">
            <w:pPr>
              <w:pStyle w:val="Tablecentre"/>
            </w:pPr>
            <w:r>
              <w:t>A2</w:t>
            </w:r>
          </w:p>
        </w:tc>
        <w:tc>
          <w:tcPr>
            <w:tcW w:w="2835" w:type="dxa"/>
            <w:vAlign w:val="center"/>
          </w:tcPr>
          <w:p w14:paraId="034D7C34" w14:textId="77BEF88A" w:rsidR="006E578C" w:rsidRDefault="006E578C" w:rsidP="00961D2E">
            <w:pPr>
              <w:pStyle w:val="Tableleft"/>
            </w:pPr>
            <w:r>
              <w:t>Identify VC representatives</w:t>
            </w:r>
          </w:p>
        </w:tc>
        <w:tc>
          <w:tcPr>
            <w:tcW w:w="1134" w:type="dxa"/>
            <w:shd w:val="clear" w:color="auto" w:fill="auto"/>
            <w:vAlign w:val="center"/>
          </w:tcPr>
          <w:p w14:paraId="2D473D8E" w14:textId="5A92CC06" w:rsidR="006E578C" w:rsidRDefault="006E578C" w:rsidP="006E578C">
            <w:pPr>
              <w:pStyle w:val="Tableleft"/>
            </w:pPr>
            <w:r>
              <w:t>Data-set</w:t>
            </w:r>
          </w:p>
        </w:tc>
        <w:tc>
          <w:tcPr>
            <w:tcW w:w="926" w:type="dxa"/>
            <w:tcBorders>
              <w:right w:val="dashed" w:sz="12" w:space="0" w:color="auto"/>
            </w:tcBorders>
            <w:vAlign w:val="center"/>
          </w:tcPr>
          <w:p w14:paraId="4EA283FF" w14:textId="612D98AE" w:rsidR="006E578C" w:rsidRDefault="006E578C" w:rsidP="00961D2E">
            <w:pPr>
              <w:pStyle w:val="Tablecentre"/>
            </w:pPr>
          </w:p>
        </w:tc>
        <w:tc>
          <w:tcPr>
            <w:tcW w:w="926" w:type="dxa"/>
            <w:tcBorders>
              <w:left w:val="dashed" w:sz="12" w:space="0" w:color="auto"/>
            </w:tcBorders>
            <w:shd w:val="clear" w:color="auto" w:fill="D9D9D9" w:themeFill="background1" w:themeFillShade="D9"/>
            <w:vAlign w:val="center"/>
          </w:tcPr>
          <w:p w14:paraId="4BAEB4D1" w14:textId="77777777" w:rsidR="006E578C" w:rsidRDefault="006E578C" w:rsidP="00961D2E">
            <w:pPr>
              <w:pStyle w:val="Tablecentre"/>
            </w:pPr>
          </w:p>
        </w:tc>
        <w:tc>
          <w:tcPr>
            <w:tcW w:w="926" w:type="dxa"/>
            <w:vAlign w:val="center"/>
          </w:tcPr>
          <w:p w14:paraId="085B84FB" w14:textId="77777777" w:rsidR="006E578C" w:rsidRDefault="006E578C" w:rsidP="00961D2E">
            <w:pPr>
              <w:pStyle w:val="Tablecentre"/>
            </w:pPr>
          </w:p>
        </w:tc>
        <w:tc>
          <w:tcPr>
            <w:tcW w:w="926" w:type="dxa"/>
            <w:vAlign w:val="center"/>
          </w:tcPr>
          <w:p w14:paraId="3A093680" w14:textId="77777777" w:rsidR="006E578C" w:rsidRDefault="006E578C" w:rsidP="00961D2E">
            <w:pPr>
              <w:pStyle w:val="Tablecentre"/>
            </w:pPr>
          </w:p>
        </w:tc>
        <w:tc>
          <w:tcPr>
            <w:tcW w:w="927" w:type="dxa"/>
            <w:vAlign w:val="center"/>
          </w:tcPr>
          <w:p w14:paraId="0E7C9183" w14:textId="77777777" w:rsidR="006E578C" w:rsidRDefault="006E578C" w:rsidP="00961D2E">
            <w:pPr>
              <w:pStyle w:val="Tablecentre"/>
            </w:pPr>
          </w:p>
        </w:tc>
      </w:tr>
      <w:tr w:rsidR="006E578C" w14:paraId="5199632B" w14:textId="77777777" w:rsidTr="00D55CCC">
        <w:trPr>
          <w:trHeight w:val="340"/>
        </w:trPr>
        <w:tc>
          <w:tcPr>
            <w:tcW w:w="426" w:type="dxa"/>
            <w:vAlign w:val="center"/>
          </w:tcPr>
          <w:p w14:paraId="06BB3C26" w14:textId="787094DD" w:rsidR="006E578C" w:rsidRDefault="006E578C" w:rsidP="00961D2E">
            <w:pPr>
              <w:pStyle w:val="Tablecentre"/>
            </w:pPr>
            <w:r>
              <w:t>A3</w:t>
            </w:r>
          </w:p>
        </w:tc>
        <w:tc>
          <w:tcPr>
            <w:tcW w:w="2835" w:type="dxa"/>
            <w:vAlign w:val="center"/>
          </w:tcPr>
          <w:p w14:paraId="57FF2F8E" w14:textId="7DF97C98" w:rsidR="006E578C" w:rsidRDefault="006E578C" w:rsidP="00961D2E">
            <w:pPr>
              <w:pStyle w:val="Tableleft"/>
            </w:pPr>
            <w:r>
              <w:t>Implement VCA</w:t>
            </w:r>
          </w:p>
        </w:tc>
        <w:tc>
          <w:tcPr>
            <w:tcW w:w="1134" w:type="dxa"/>
            <w:shd w:val="clear" w:color="auto" w:fill="auto"/>
            <w:vAlign w:val="center"/>
          </w:tcPr>
          <w:p w14:paraId="2AAF7F54" w14:textId="4CA9F86B" w:rsidR="006E578C" w:rsidRDefault="006E578C" w:rsidP="006E578C">
            <w:pPr>
              <w:pStyle w:val="Tableleft"/>
            </w:pPr>
            <w:r>
              <w:t>Report</w:t>
            </w:r>
          </w:p>
        </w:tc>
        <w:tc>
          <w:tcPr>
            <w:tcW w:w="926" w:type="dxa"/>
            <w:tcBorders>
              <w:right w:val="dashed" w:sz="12" w:space="0" w:color="auto"/>
            </w:tcBorders>
            <w:vAlign w:val="center"/>
          </w:tcPr>
          <w:p w14:paraId="73D04BCD" w14:textId="21112B1B" w:rsidR="006E578C" w:rsidRDefault="006E578C" w:rsidP="00961D2E">
            <w:pPr>
              <w:pStyle w:val="Tablecentre"/>
            </w:pPr>
          </w:p>
        </w:tc>
        <w:tc>
          <w:tcPr>
            <w:tcW w:w="926" w:type="dxa"/>
            <w:tcBorders>
              <w:left w:val="dashed" w:sz="12" w:space="0" w:color="auto"/>
            </w:tcBorders>
            <w:shd w:val="clear" w:color="auto" w:fill="D9D9D9" w:themeFill="background1" w:themeFillShade="D9"/>
            <w:vAlign w:val="center"/>
          </w:tcPr>
          <w:p w14:paraId="18F8E2EC" w14:textId="77777777" w:rsidR="006E578C" w:rsidRDefault="006E578C" w:rsidP="00961D2E">
            <w:pPr>
              <w:pStyle w:val="Tablecentre"/>
            </w:pPr>
          </w:p>
        </w:tc>
        <w:tc>
          <w:tcPr>
            <w:tcW w:w="926" w:type="dxa"/>
            <w:shd w:val="clear" w:color="auto" w:fill="auto"/>
            <w:vAlign w:val="center"/>
          </w:tcPr>
          <w:p w14:paraId="1F263D7F" w14:textId="77777777" w:rsidR="006E578C" w:rsidRDefault="006E578C" w:rsidP="00961D2E">
            <w:pPr>
              <w:pStyle w:val="Tablecentre"/>
            </w:pPr>
          </w:p>
        </w:tc>
        <w:tc>
          <w:tcPr>
            <w:tcW w:w="926" w:type="dxa"/>
            <w:vAlign w:val="center"/>
          </w:tcPr>
          <w:p w14:paraId="1911E8BC" w14:textId="77777777" w:rsidR="006E578C" w:rsidRDefault="006E578C" w:rsidP="00961D2E">
            <w:pPr>
              <w:pStyle w:val="Tablecentre"/>
            </w:pPr>
          </w:p>
        </w:tc>
        <w:tc>
          <w:tcPr>
            <w:tcW w:w="927" w:type="dxa"/>
            <w:vAlign w:val="center"/>
          </w:tcPr>
          <w:p w14:paraId="5F1A4598" w14:textId="77777777" w:rsidR="006E578C" w:rsidRDefault="006E578C" w:rsidP="00961D2E">
            <w:pPr>
              <w:pStyle w:val="Tablecentre"/>
            </w:pPr>
          </w:p>
        </w:tc>
      </w:tr>
      <w:tr w:rsidR="006E578C" w14:paraId="62801FCC" w14:textId="77777777" w:rsidTr="00D55CCC">
        <w:trPr>
          <w:trHeight w:val="340"/>
        </w:trPr>
        <w:tc>
          <w:tcPr>
            <w:tcW w:w="426" w:type="dxa"/>
            <w:vAlign w:val="center"/>
          </w:tcPr>
          <w:p w14:paraId="047E4636" w14:textId="120BD381" w:rsidR="006E578C" w:rsidRDefault="006E578C" w:rsidP="00961D2E">
            <w:pPr>
              <w:pStyle w:val="Tablecentre"/>
            </w:pPr>
            <w:r>
              <w:t>A4</w:t>
            </w:r>
          </w:p>
        </w:tc>
        <w:tc>
          <w:tcPr>
            <w:tcW w:w="2835" w:type="dxa"/>
            <w:vAlign w:val="center"/>
          </w:tcPr>
          <w:p w14:paraId="7B583412" w14:textId="2BDC9AD0" w:rsidR="006E578C" w:rsidRDefault="006E578C" w:rsidP="00961D2E">
            <w:pPr>
              <w:pStyle w:val="Tableleft"/>
            </w:pPr>
            <w:r>
              <w:t>Develop sampling frame and analysis design for adoption survey</w:t>
            </w:r>
          </w:p>
        </w:tc>
        <w:tc>
          <w:tcPr>
            <w:tcW w:w="1134" w:type="dxa"/>
            <w:shd w:val="clear" w:color="auto" w:fill="auto"/>
            <w:vAlign w:val="center"/>
          </w:tcPr>
          <w:p w14:paraId="0EE4E2FA" w14:textId="2AB4B885" w:rsidR="006E578C" w:rsidRDefault="006E578C" w:rsidP="006E578C">
            <w:pPr>
              <w:pStyle w:val="Tableleft"/>
            </w:pPr>
            <w:r>
              <w:t>Report</w:t>
            </w:r>
          </w:p>
        </w:tc>
        <w:tc>
          <w:tcPr>
            <w:tcW w:w="926" w:type="dxa"/>
            <w:tcBorders>
              <w:right w:val="dashed" w:sz="12" w:space="0" w:color="auto"/>
            </w:tcBorders>
            <w:shd w:val="clear" w:color="auto" w:fill="D9D9D9" w:themeFill="background1" w:themeFillShade="D9"/>
            <w:vAlign w:val="center"/>
          </w:tcPr>
          <w:p w14:paraId="01D2880F" w14:textId="29B48F29" w:rsidR="006E578C" w:rsidRDefault="006E578C" w:rsidP="00961D2E">
            <w:pPr>
              <w:pStyle w:val="Tablecentre"/>
            </w:pPr>
          </w:p>
        </w:tc>
        <w:tc>
          <w:tcPr>
            <w:tcW w:w="926" w:type="dxa"/>
            <w:tcBorders>
              <w:left w:val="dashed" w:sz="12" w:space="0" w:color="auto"/>
            </w:tcBorders>
            <w:shd w:val="clear" w:color="auto" w:fill="D9D9D9" w:themeFill="background1" w:themeFillShade="D9"/>
            <w:vAlign w:val="center"/>
          </w:tcPr>
          <w:p w14:paraId="04BA621F" w14:textId="77777777" w:rsidR="006E578C" w:rsidRDefault="006E578C" w:rsidP="00961D2E">
            <w:pPr>
              <w:pStyle w:val="Tablecentre"/>
            </w:pPr>
          </w:p>
        </w:tc>
        <w:tc>
          <w:tcPr>
            <w:tcW w:w="926" w:type="dxa"/>
            <w:vAlign w:val="center"/>
          </w:tcPr>
          <w:p w14:paraId="7D52FB5A" w14:textId="77777777" w:rsidR="006E578C" w:rsidRDefault="006E578C" w:rsidP="00961D2E">
            <w:pPr>
              <w:pStyle w:val="Tablecentre"/>
            </w:pPr>
          </w:p>
        </w:tc>
        <w:tc>
          <w:tcPr>
            <w:tcW w:w="926" w:type="dxa"/>
            <w:vAlign w:val="center"/>
          </w:tcPr>
          <w:p w14:paraId="7381B673" w14:textId="77777777" w:rsidR="006E578C" w:rsidRDefault="006E578C" w:rsidP="00961D2E">
            <w:pPr>
              <w:pStyle w:val="Tablecentre"/>
            </w:pPr>
          </w:p>
        </w:tc>
        <w:tc>
          <w:tcPr>
            <w:tcW w:w="927" w:type="dxa"/>
            <w:vAlign w:val="center"/>
          </w:tcPr>
          <w:p w14:paraId="52415A21" w14:textId="77777777" w:rsidR="006E578C" w:rsidRDefault="006E578C" w:rsidP="00961D2E">
            <w:pPr>
              <w:pStyle w:val="Tablecentre"/>
            </w:pPr>
          </w:p>
        </w:tc>
      </w:tr>
      <w:tr w:rsidR="006E578C" w14:paraId="49260D41" w14:textId="77777777" w:rsidTr="00D55CCC">
        <w:trPr>
          <w:trHeight w:val="340"/>
        </w:trPr>
        <w:tc>
          <w:tcPr>
            <w:tcW w:w="426" w:type="dxa"/>
            <w:vAlign w:val="center"/>
          </w:tcPr>
          <w:p w14:paraId="6850C08E" w14:textId="6ABDC105" w:rsidR="006E578C" w:rsidRDefault="006E578C" w:rsidP="00961D2E">
            <w:pPr>
              <w:pStyle w:val="Tablecentre"/>
            </w:pPr>
            <w:r>
              <w:t>A5</w:t>
            </w:r>
          </w:p>
        </w:tc>
        <w:tc>
          <w:tcPr>
            <w:tcW w:w="2835" w:type="dxa"/>
            <w:vAlign w:val="center"/>
          </w:tcPr>
          <w:p w14:paraId="7CF7F38E" w14:textId="492BEBA3" w:rsidR="006E578C" w:rsidRDefault="006E578C" w:rsidP="00961D2E">
            <w:pPr>
              <w:pStyle w:val="Tableleft"/>
            </w:pPr>
            <w:r>
              <w:t>Implement adoption survey</w:t>
            </w:r>
          </w:p>
        </w:tc>
        <w:tc>
          <w:tcPr>
            <w:tcW w:w="1134" w:type="dxa"/>
            <w:shd w:val="clear" w:color="auto" w:fill="auto"/>
            <w:vAlign w:val="center"/>
          </w:tcPr>
          <w:p w14:paraId="3922A906" w14:textId="72178D92" w:rsidR="006E578C" w:rsidRDefault="006E578C" w:rsidP="006E578C">
            <w:pPr>
              <w:pStyle w:val="Tableleft"/>
            </w:pPr>
            <w:r>
              <w:t>Data-set</w:t>
            </w:r>
          </w:p>
        </w:tc>
        <w:tc>
          <w:tcPr>
            <w:tcW w:w="926" w:type="dxa"/>
            <w:tcBorders>
              <w:right w:val="dashed" w:sz="12" w:space="0" w:color="auto"/>
            </w:tcBorders>
            <w:vAlign w:val="center"/>
          </w:tcPr>
          <w:p w14:paraId="4F4784F9" w14:textId="7DE44471" w:rsidR="006E578C" w:rsidRDefault="006E578C" w:rsidP="00961D2E">
            <w:pPr>
              <w:pStyle w:val="Tablecentre"/>
            </w:pPr>
          </w:p>
        </w:tc>
        <w:tc>
          <w:tcPr>
            <w:tcW w:w="926" w:type="dxa"/>
            <w:tcBorders>
              <w:left w:val="dashed" w:sz="12" w:space="0" w:color="auto"/>
            </w:tcBorders>
            <w:shd w:val="clear" w:color="auto" w:fill="auto"/>
            <w:vAlign w:val="center"/>
          </w:tcPr>
          <w:p w14:paraId="05C51E00" w14:textId="77777777" w:rsidR="006E578C" w:rsidRDefault="006E578C" w:rsidP="00961D2E">
            <w:pPr>
              <w:pStyle w:val="Tablecentre"/>
            </w:pPr>
          </w:p>
        </w:tc>
        <w:tc>
          <w:tcPr>
            <w:tcW w:w="926" w:type="dxa"/>
            <w:shd w:val="clear" w:color="auto" w:fill="D9D9D9" w:themeFill="background1" w:themeFillShade="D9"/>
            <w:vAlign w:val="center"/>
          </w:tcPr>
          <w:p w14:paraId="761C9BCC" w14:textId="77777777" w:rsidR="006E578C" w:rsidRDefault="006E578C" w:rsidP="00961D2E">
            <w:pPr>
              <w:pStyle w:val="Tablecentre"/>
            </w:pPr>
          </w:p>
        </w:tc>
        <w:tc>
          <w:tcPr>
            <w:tcW w:w="926" w:type="dxa"/>
            <w:vAlign w:val="center"/>
          </w:tcPr>
          <w:p w14:paraId="4291CAFC" w14:textId="77777777" w:rsidR="006E578C" w:rsidRDefault="006E578C" w:rsidP="00961D2E">
            <w:pPr>
              <w:pStyle w:val="Tablecentre"/>
            </w:pPr>
          </w:p>
        </w:tc>
        <w:tc>
          <w:tcPr>
            <w:tcW w:w="927" w:type="dxa"/>
            <w:vAlign w:val="center"/>
          </w:tcPr>
          <w:p w14:paraId="6E24F259" w14:textId="77777777" w:rsidR="006E578C" w:rsidRDefault="006E578C" w:rsidP="00961D2E">
            <w:pPr>
              <w:pStyle w:val="Tablecentre"/>
            </w:pPr>
          </w:p>
        </w:tc>
      </w:tr>
      <w:tr w:rsidR="006E578C" w14:paraId="4A97E506" w14:textId="77777777" w:rsidTr="00D55CCC">
        <w:trPr>
          <w:trHeight w:val="340"/>
        </w:trPr>
        <w:tc>
          <w:tcPr>
            <w:tcW w:w="426" w:type="dxa"/>
            <w:tcBorders>
              <w:bottom w:val="single" w:sz="12" w:space="0" w:color="auto"/>
            </w:tcBorders>
            <w:vAlign w:val="center"/>
          </w:tcPr>
          <w:p w14:paraId="53D74151" w14:textId="0CA2CFC3" w:rsidR="006E578C" w:rsidRDefault="006E578C" w:rsidP="00961D2E">
            <w:pPr>
              <w:pStyle w:val="Tablecentre"/>
            </w:pPr>
            <w:r>
              <w:t>A6</w:t>
            </w:r>
          </w:p>
        </w:tc>
        <w:tc>
          <w:tcPr>
            <w:tcW w:w="2835" w:type="dxa"/>
            <w:tcBorders>
              <w:bottom w:val="single" w:sz="12" w:space="0" w:color="auto"/>
            </w:tcBorders>
            <w:vAlign w:val="center"/>
          </w:tcPr>
          <w:p w14:paraId="03F19DF1" w14:textId="34FBB065" w:rsidR="006E578C" w:rsidRDefault="006E578C" w:rsidP="00961D2E">
            <w:pPr>
              <w:pStyle w:val="Tableleft"/>
            </w:pPr>
            <w:r>
              <w:t>Analysis of adoption survey data and synthesis</w:t>
            </w:r>
          </w:p>
        </w:tc>
        <w:tc>
          <w:tcPr>
            <w:tcW w:w="1134" w:type="dxa"/>
            <w:tcBorders>
              <w:bottom w:val="single" w:sz="12" w:space="0" w:color="auto"/>
            </w:tcBorders>
            <w:shd w:val="clear" w:color="auto" w:fill="auto"/>
            <w:vAlign w:val="center"/>
          </w:tcPr>
          <w:p w14:paraId="023A917F" w14:textId="0C9F1048" w:rsidR="006E578C" w:rsidRDefault="006E578C" w:rsidP="006E578C">
            <w:pPr>
              <w:pStyle w:val="Tableleft"/>
            </w:pPr>
            <w:r>
              <w:t>Report</w:t>
            </w:r>
          </w:p>
        </w:tc>
        <w:tc>
          <w:tcPr>
            <w:tcW w:w="926" w:type="dxa"/>
            <w:tcBorders>
              <w:bottom w:val="single" w:sz="12" w:space="0" w:color="auto"/>
              <w:right w:val="dashed" w:sz="12" w:space="0" w:color="auto"/>
            </w:tcBorders>
            <w:vAlign w:val="center"/>
          </w:tcPr>
          <w:p w14:paraId="6744CE09" w14:textId="01BB1C55" w:rsidR="006E578C" w:rsidRDefault="006E578C" w:rsidP="00961D2E">
            <w:pPr>
              <w:pStyle w:val="Tablecentre"/>
            </w:pPr>
          </w:p>
        </w:tc>
        <w:tc>
          <w:tcPr>
            <w:tcW w:w="926" w:type="dxa"/>
            <w:tcBorders>
              <w:left w:val="dashed" w:sz="12" w:space="0" w:color="auto"/>
              <w:bottom w:val="single" w:sz="12" w:space="0" w:color="auto"/>
            </w:tcBorders>
            <w:vAlign w:val="center"/>
          </w:tcPr>
          <w:p w14:paraId="55A124E8" w14:textId="77777777" w:rsidR="006E578C" w:rsidRDefault="006E578C" w:rsidP="00961D2E">
            <w:pPr>
              <w:pStyle w:val="Tablecentre"/>
            </w:pPr>
          </w:p>
        </w:tc>
        <w:tc>
          <w:tcPr>
            <w:tcW w:w="926" w:type="dxa"/>
            <w:tcBorders>
              <w:bottom w:val="single" w:sz="12" w:space="0" w:color="auto"/>
            </w:tcBorders>
            <w:vAlign w:val="center"/>
          </w:tcPr>
          <w:p w14:paraId="2211B8DE" w14:textId="77777777" w:rsidR="006E578C" w:rsidRDefault="006E578C" w:rsidP="00961D2E">
            <w:pPr>
              <w:pStyle w:val="Tablecentre"/>
            </w:pPr>
          </w:p>
        </w:tc>
        <w:tc>
          <w:tcPr>
            <w:tcW w:w="926" w:type="dxa"/>
            <w:tcBorders>
              <w:bottom w:val="single" w:sz="12" w:space="0" w:color="auto"/>
            </w:tcBorders>
            <w:shd w:val="clear" w:color="auto" w:fill="D9D9D9" w:themeFill="background1" w:themeFillShade="D9"/>
            <w:vAlign w:val="center"/>
          </w:tcPr>
          <w:p w14:paraId="1CEDD54C" w14:textId="77777777" w:rsidR="006E578C" w:rsidRDefault="006E578C" w:rsidP="00961D2E">
            <w:pPr>
              <w:pStyle w:val="Tablecentre"/>
            </w:pPr>
          </w:p>
        </w:tc>
        <w:tc>
          <w:tcPr>
            <w:tcW w:w="927" w:type="dxa"/>
            <w:tcBorders>
              <w:bottom w:val="single" w:sz="12" w:space="0" w:color="auto"/>
            </w:tcBorders>
            <w:shd w:val="clear" w:color="auto" w:fill="D9D9D9" w:themeFill="background1" w:themeFillShade="D9"/>
            <w:vAlign w:val="center"/>
          </w:tcPr>
          <w:p w14:paraId="6B1C845F" w14:textId="77777777" w:rsidR="006E578C" w:rsidRDefault="006E578C" w:rsidP="00961D2E">
            <w:pPr>
              <w:pStyle w:val="Tablecentre"/>
            </w:pPr>
          </w:p>
        </w:tc>
      </w:tr>
    </w:tbl>
    <w:p w14:paraId="6E954999" w14:textId="4DB12DDA" w:rsidR="00E60C2E" w:rsidRDefault="00D87537" w:rsidP="00D87537">
      <w:pPr>
        <w:pStyle w:val="Tablefootnote"/>
      </w:pPr>
      <w:r>
        <w:t xml:space="preserve">Note: Research design and implementation plans will be reviewed at the end of phase I, after Q3 2017. </w:t>
      </w:r>
    </w:p>
    <w:p w14:paraId="70356B70" w14:textId="77777777" w:rsidR="00E60C2E" w:rsidRDefault="00E60C2E" w:rsidP="004A3495">
      <w:pPr>
        <w:pStyle w:val="Heading2"/>
      </w:pPr>
      <w:r>
        <w:t>Budget</w:t>
      </w:r>
    </w:p>
    <w:p w14:paraId="4C67A771" w14:textId="005C1D3B" w:rsidR="00E60C2E" w:rsidRDefault="008D107C" w:rsidP="00E60C2E">
      <w:pPr>
        <w:pStyle w:val="BodyText"/>
      </w:pPr>
      <w:r>
        <w:t>See attached spread-sheet.</w:t>
      </w:r>
    </w:p>
    <w:p w14:paraId="3F8F685A" w14:textId="37CEA14E" w:rsidR="00E60C2E" w:rsidRDefault="00E60C2E" w:rsidP="004A3495">
      <w:pPr>
        <w:pStyle w:val="Heading2"/>
      </w:pPr>
      <w:r>
        <w:t>Contributors</w:t>
      </w:r>
      <w:r w:rsidR="00F56C17">
        <w:t xml:space="preserve"> and experts</w:t>
      </w:r>
    </w:p>
    <w:p w14:paraId="59CC95A5" w14:textId="78EE3A9F" w:rsidR="00E60C2E" w:rsidRDefault="00F56C17" w:rsidP="00C177B1">
      <w:pPr>
        <w:pStyle w:val="BodyText"/>
      </w:pPr>
      <w:r>
        <w:t>The main contributors to this study will be:</w:t>
      </w:r>
    </w:p>
    <w:tbl>
      <w:tblPr>
        <w:tblStyle w:val="TableGrid"/>
        <w:tblW w:w="0" w:type="auto"/>
        <w:tblBorders>
          <w:top w:val="none" w:sz="0"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2268"/>
        <w:gridCol w:w="590"/>
        <w:gridCol w:w="591"/>
        <w:gridCol w:w="590"/>
        <w:gridCol w:w="591"/>
        <w:gridCol w:w="590"/>
        <w:gridCol w:w="591"/>
        <w:gridCol w:w="539"/>
        <w:gridCol w:w="539"/>
      </w:tblGrid>
      <w:tr w:rsidR="00F56C17" w:rsidRPr="00F56C17" w14:paraId="113D422D" w14:textId="4F02B1FF" w:rsidTr="00B90709">
        <w:trPr>
          <w:trHeight w:val="340"/>
        </w:trPr>
        <w:tc>
          <w:tcPr>
            <w:tcW w:w="2127" w:type="dxa"/>
            <w:tcBorders>
              <w:bottom w:val="nil"/>
            </w:tcBorders>
            <w:vAlign w:val="center"/>
          </w:tcPr>
          <w:p w14:paraId="1AC8DB99" w14:textId="6FFFC4E4" w:rsidR="00F56C17" w:rsidRPr="00F56C17" w:rsidRDefault="00F56C17" w:rsidP="00D55CCC">
            <w:pPr>
              <w:pStyle w:val="Tableleft"/>
            </w:pPr>
            <w:r>
              <w:t>Contributor</w:t>
            </w:r>
          </w:p>
        </w:tc>
        <w:tc>
          <w:tcPr>
            <w:tcW w:w="2268" w:type="dxa"/>
            <w:tcBorders>
              <w:bottom w:val="nil"/>
              <w:right w:val="single" w:sz="4" w:space="0" w:color="auto"/>
            </w:tcBorders>
            <w:vAlign w:val="center"/>
          </w:tcPr>
          <w:p w14:paraId="269D2EB6" w14:textId="436C1F0B" w:rsidR="00F56C17" w:rsidRPr="00F56C17" w:rsidRDefault="00F56C17" w:rsidP="00D55CCC">
            <w:pPr>
              <w:pStyle w:val="Tablecentre"/>
            </w:pPr>
            <w:r>
              <w:t>Relevant</w:t>
            </w:r>
          </w:p>
        </w:tc>
        <w:tc>
          <w:tcPr>
            <w:tcW w:w="3543" w:type="dxa"/>
            <w:gridSpan w:val="6"/>
            <w:tcBorders>
              <w:left w:val="single" w:sz="4" w:space="0" w:color="auto"/>
              <w:bottom w:val="nil"/>
              <w:right w:val="single" w:sz="4" w:space="0" w:color="auto"/>
            </w:tcBorders>
            <w:vAlign w:val="center"/>
          </w:tcPr>
          <w:p w14:paraId="6FE076DF" w14:textId="4F1E26DA" w:rsidR="00F56C17" w:rsidRPr="00F56C17" w:rsidRDefault="00F56C17" w:rsidP="00D55CCC">
            <w:pPr>
              <w:pStyle w:val="Tablecentre"/>
            </w:pPr>
            <w:r>
              <w:t>Activities</w:t>
            </w:r>
          </w:p>
        </w:tc>
        <w:tc>
          <w:tcPr>
            <w:tcW w:w="1078" w:type="dxa"/>
            <w:gridSpan w:val="2"/>
            <w:tcBorders>
              <w:left w:val="single" w:sz="4" w:space="0" w:color="auto"/>
              <w:bottom w:val="nil"/>
            </w:tcBorders>
            <w:vAlign w:val="center"/>
          </w:tcPr>
          <w:p w14:paraId="35735682" w14:textId="514E361E" w:rsidR="00F56C17" w:rsidRPr="00F56C17" w:rsidRDefault="00F56C17" w:rsidP="00D55CCC">
            <w:pPr>
              <w:pStyle w:val="Tablecentre"/>
            </w:pPr>
            <w:r>
              <w:t xml:space="preserve">FTE </w:t>
            </w:r>
            <w:r w:rsidR="00D55CCC">
              <w:t>[%]</w:t>
            </w:r>
          </w:p>
        </w:tc>
      </w:tr>
      <w:tr w:rsidR="00D55CCC" w:rsidRPr="00F56C17" w14:paraId="660C070D" w14:textId="24CA8F05" w:rsidTr="00B90709">
        <w:trPr>
          <w:trHeight w:val="340"/>
        </w:trPr>
        <w:tc>
          <w:tcPr>
            <w:tcW w:w="2127" w:type="dxa"/>
            <w:tcBorders>
              <w:bottom w:val="single" w:sz="12" w:space="0" w:color="auto"/>
            </w:tcBorders>
            <w:vAlign w:val="center"/>
          </w:tcPr>
          <w:p w14:paraId="3C2DEBF6" w14:textId="77777777" w:rsidR="00D55CCC" w:rsidRPr="00F56C17" w:rsidRDefault="00D55CCC" w:rsidP="00D55CCC">
            <w:pPr>
              <w:pStyle w:val="Tableleft"/>
            </w:pPr>
          </w:p>
        </w:tc>
        <w:tc>
          <w:tcPr>
            <w:tcW w:w="2268" w:type="dxa"/>
            <w:tcBorders>
              <w:bottom w:val="single" w:sz="12" w:space="0" w:color="auto"/>
              <w:right w:val="single" w:sz="4" w:space="0" w:color="auto"/>
            </w:tcBorders>
            <w:vAlign w:val="center"/>
          </w:tcPr>
          <w:p w14:paraId="48C2026D" w14:textId="64AFB2D2" w:rsidR="00D55CCC" w:rsidRPr="00F56C17" w:rsidRDefault="00D55CCC" w:rsidP="00D55CCC">
            <w:pPr>
              <w:pStyle w:val="Tablecentre"/>
            </w:pPr>
            <w:r>
              <w:t>expertise</w:t>
            </w:r>
          </w:p>
        </w:tc>
        <w:tc>
          <w:tcPr>
            <w:tcW w:w="590" w:type="dxa"/>
            <w:tcBorders>
              <w:left w:val="single" w:sz="4" w:space="0" w:color="auto"/>
              <w:bottom w:val="single" w:sz="12" w:space="0" w:color="auto"/>
              <w:right w:val="nil"/>
            </w:tcBorders>
            <w:vAlign w:val="center"/>
          </w:tcPr>
          <w:p w14:paraId="55E3E311" w14:textId="1AA69302" w:rsidR="00D55CCC" w:rsidRPr="00F56C17" w:rsidRDefault="00D55CCC" w:rsidP="00D55CCC">
            <w:pPr>
              <w:pStyle w:val="Tablecentre"/>
            </w:pPr>
            <w:r>
              <w:t>A1</w:t>
            </w:r>
          </w:p>
        </w:tc>
        <w:tc>
          <w:tcPr>
            <w:tcW w:w="591" w:type="dxa"/>
            <w:tcBorders>
              <w:left w:val="nil"/>
              <w:bottom w:val="single" w:sz="12" w:space="0" w:color="auto"/>
            </w:tcBorders>
            <w:vAlign w:val="center"/>
          </w:tcPr>
          <w:p w14:paraId="228AEA5B" w14:textId="0362694E" w:rsidR="00D55CCC" w:rsidRPr="00F56C17" w:rsidRDefault="00D55CCC" w:rsidP="00D55CCC">
            <w:pPr>
              <w:pStyle w:val="Tablecentre"/>
            </w:pPr>
            <w:r>
              <w:t>A2</w:t>
            </w:r>
          </w:p>
        </w:tc>
        <w:tc>
          <w:tcPr>
            <w:tcW w:w="590" w:type="dxa"/>
            <w:tcBorders>
              <w:bottom w:val="single" w:sz="12" w:space="0" w:color="auto"/>
            </w:tcBorders>
            <w:vAlign w:val="center"/>
          </w:tcPr>
          <w:p w14:paraId="464D5D1B" w14:textId="716E924E" w:rsidR="00D55CCC" w:rsidRPr="00F56C17" w:rsidRDefault="00D55CCC" w:rsidP="00D55CCC">
            <w:pPr>
              <w:pStyle w:val="Tablecentre"/>
            </w:pPr>
            <w:r>
              <w:t>A3</w:t>
            </w:r>
          </w:p>
        </w:tc>
        <w:tc>
          <w:tcPr>
            <w:tcW w:w="591" w:type="dxa"/>
            <w:tcBorders>
              <w:bottom w:val="single" w:sz="12" w:space="0" w:color="auto"/>
            </w:tcBorders>
            <w:vAlign w:val="center"/>
          </w:tcPr>
          <w:p w14:paraId="20F9A98E" w14:textId="39EFBCD8" w:rsidR="00D55CCC" w:rsidRPr="00F56C17" w:rsidRDefault="00D55CCC" w:rsidP="00D55CCC">
            <w:pPr>
              <w:pStyle w:val="Tablecentre"/>
            </w:pPr>
            <w:r>
              <w:t>A4</w:t>
            </w:r>
          </w:p>
        </w:tc>
        <w:tc>
          <w:tcPr>
            <w:tcW w:w="590" w:type="dxa"/>
            <w:tcBorders>
              <w:bottom w:val="single" w:sz="12" w:space="0" w:color="auto"/>
            </w:tcBorders>
            <w:vAlign w:val="center"/>
          </w:tcPr>
          <w:p w14:paraId="24EA70C6" w14:textId="3D2C75EC" w:rsidR="00D55CCC" w:rsidRPr="00F56C17" w:rsidRDefault="00D55CCC" w:rsidP="00D55CCC">
            <w:pPr>
              <w:pStyle w:val="Tablecentre"/>
            </w:pPr>
            <w:r>
              <w:t>A5</w:t>
            </w:r>
          </w:p>
        </w:tc>
        <w:tc>
          <w:tcPr>
            <w:tcW w:w="591" w:type="dxa"/>
            <w:tcBorders>
              <w:bottom w:val="single" w:sz="12" w:space="0" w:color="auto"/>
              <w:right w:val="single" w:sz="4" w:space="0" w:color="auto"/>
            </w:tcBorders>
            <w:vAlign w:val="center"/>
          </w:tcPr>
          <w:p w14:paraId="50F51AA5" w14:textId="7195F97A" w:rsidR="00D55CCC" w:rsidRPr="00F56C17" w:rsidRDefault="00D55CCC" w:rsidP="00D55CCC">
            <w:pPr>
              <w:pStyle w:val="Tablecentre"/>
            </w:pPr>
            <w:r>
              <w:t>A6</w:t>
            </w:r>
          </w:p>
        </w:tc>
        <w:tc>
          <w:tcPr>
            <w:tcW w:w="539" w:type="dxa"/>
            <w:tcBorders>
              <w:left w:val="single" w:sz="4" w:space="0" w:color="auto"/>
              <w:bottom w:val="single" w:sz="12" w:space="0" w:color="auto"/>
            </w:tcBorders>
            <w:vAlign w:val="center"/>
          </w:tcPr>
          <w:p w14:paraId="755DEEEE" w14:textId="407EFE3B" w:rsidR="00D55CCC" w:rsidRPr="00F56C17" w:rsidRDefault="00D55CCC" w:rsidP="00D55CCC">
            <w:pPr>
              <w:pStyle w:val="Tablecentre"/>
            </w:pPr>
            <w:proofErr w:type="spellStart"/>
            <w:r>
              <w:t>ph</w:t>
            </w:r>
            <w:proofErr w:type="spellEnd"/>
            <w:r>
              <w:t xml:space="preserve"> I</w:t>
            </w:r>
          </w:p>
        </w:tc>
        <w:tc>
          <w:tcPr>
            <w:tcW w:w="539" w:type="dxa"/>
            <w:tcBorders>
              <w:bottom w:val="single" w:sz="12" w:space="0" w:color="auto"/>
            </w:tcBorders>
            <w:vAlign w:val="center"/>
          </w:tcPr>
          <w:p w14:paraId="09DD8BD6" w14:textId="62EBF566" w:rsidR="00D55CCC" w:rsidRPr="00F56C17" w:rsidRDefault="00D55CCC" w:rsidP="00D55CCC">
            <w:pPr>
              <w:pStyle w:val="Tablecentre"/>
            </w:pPr>
            <w:proofErr w:type="spellStart"/>
            <w:r>
              <w:t>ph</w:t>
            </w:r>
            <w:proofErr w:type="spellEnd"/>
            <w:r>
              <w:t xml:space="preserve"> II</w:t>
            </w:r>
          </w:p>
        </w:tc>
      </w:tr>
      <w:tr w:rsidR="00D55CCC" w:rsidRPr="00F56C17" w14:paraId="71A61AB2" w14:textId="134A3C21" w:rsidTr="00B90709">
        <w:trPr>
          <w:trHeight w:val="340"/>
        </w:trPr>
        <w:tc>
          <w:tcPr>
            <w:tcW w:w="2127" w:type="dxa"/>
            <w:tcBorders>
              <w:top w:val="single" w:sz="12" w:space="0" w:color="auto"/>
            </w:tcBorders>
            <w:vAlign w:val="center"/>
          </w:tcPr>
          <w:p w14:paraId="3CDFD2C8" w14:textId="77777777" w:rsidR="00D55CCC" w:rsidRPr="00F56C17" w:rsidRDefault="00D55CCC" w:rsidP="00D55CCC">
            <w:pPr>
              <w:pStyle w:val="Tableleft"/>
            </w:pPr>
            <w:r w:rsidRPr="00F56C17">
              <w:t>Nils Teufel (ILRI)</w:t>
            </w:r>
          </w:p>
        </w:tc>
        <w:tc>
          <w:tcPr>
            <w:tcW w:w="2268" w:type="dxa"/>
            <w:tcBorders>
              <w:top w:val="single" w:sz="12" w:space="0" w:color="auto"/>
              <w:right w:val="single" w:sz="4" w:space="0" w:color="auto"/>
            </w:tcBorders>
            <w:vAlign w:val="center"/>
          </w:tcPr>
          <w:p w14:paraId="2E3B1E82" w14:textId="42315B49" w:rsidR="00D55CCC" w:rsidRPr="00F56C17" w:rsidRDefault="00D55CCC" w:rsidP="00D55CCC">
            <w:pPr>
              <w:pStyle w:val="Tablecentre"/>
            </w:pPr>
            <w:r>
              <w:t>Evaluation and assessment</w:t>
            </w:r>
          </w:p>
        </w:tc>
        <w:tc>
          <w:tcPr>
            <w:tcW w:w="590" w:type="dxa"/>
            <w:tcBorders>
              <w:top w:val="single" w:sz="12" w:space="0" w:color="auto"/>
              <w:left w:val="single" w:sz="4" w:space="0" w:color="auto"/>
              <w:right w:val="nil"/>
            </w:tcBorders>
            <w:shd w:val="clear" w:color="auto" w:fill="D9D9D9" w:themeFill="background1" w:themeFillShade="D9"/>
            <w:vAlign w:val="center"/>
          </w:tcPr>
          <w:p w14:paraId="292EC8AC" w14:textId="66ADA260" w:rsidR="00D55CCC" w:rsidRPr="00F56C17" w:rsidRDefault="00D55CCC" w:rsidP="00D55CCC">
            <w:pPr>
              <w:pStyle w:val="Tablecentre"/>
            </w:pPr>
          </w:p>
        </w:tc>
        <w:tc>
          <w:tcPr>
            <w:tcW w:w="591" w:type="dxa"/>
            <w:tcBorders>
              <w:top w:val="single" w:sz="12" w:space="0" w:color="auto"/>
              <w:left w:val="nil"/>
            </w:tcBorders>
            <w:shd w:val="clear" w:color="auto" w:fill="D9D9D9" w:themeFill="background1" w:themeFillShade="D9"/>
            <w:vAlign w:val="center"/>
          </w:tcPr>
          <w:p w14:paraId="799A6A5A" w14:textId="2557824F" w:rsidR="00D55CCC" w:rsidRPr="00F56C17" w:rsidRDefault="00D55CCC" w:rsidP="00D55CCC">
            <w:pPr>
              <w:pStyle w:val="Tablecentre"/>
            </w:pPr>
          </w:p>
        </w:tc>
        <w:tc>
          <w:tcPr>
            <w:tcW w:w="590" w:type="dxa"/>
            <w:tcBorders>
              <w:top w:val="single" w:sz="12" w:space="0" w:color="auto"/>
            </w:tcBorders>
            <w:shd w:val="clear" w:color="auto" w:fill="D9D9D9" w:themeFill="background1" w:themeFillShade="D9"/>
            <w:vAlign w:val="center"/>
          </w:tcPr>
          <w:p w14:paraId="5C659CD0" w14:textId="296743A2" w:rsidR="00D55CCC" w:rsidRPr="00F56C17" w:rsidRDefault="00D55CCC" w:rsidP="00D55CCC">
            <w:pPr>
              <w:pStyle w:val="Tablecentre"/>
            </w:pPr>
          </w:p>
        </w:tc>
        <w:tc>
          <w:tcPr>
            <w:tcW w:w="591" w:type="dxa"/>
            <w:tcBorders>
              <w:top w:val="single" w:sz="12" w:space="0" w:color="auto"/>
            </w:tcBorders>
            <w:shd w:val="clear" w:color="auto" w:fill="D9D9D9" w:themeFill="background1" w:themeFillShade="D9"/>
            <w:vAlign w:val="center"/>
          </w:tcPr>
          <w:p w14:paraId="415A9D6A" w14:textId="52A699C3" w:rsidR="00D55CCC" w:rsidRPr="00F56C17" w:rsidRDefault="00D55CCC" w:rsidP="00D55CCC">
            <w:pPr>
              <w:pStyle w:val="Tablecentre"/>
            </w:pPr>
          </w:p>
        </w:tc>
        <w:tc>
          <w:tcPr>
            <w:tcW w:w="590" w:type="dxa"/>
            <w:tcBorders>
              <w:top w:val="single" w:sz="12" w:space="0" w:color="auto"/>
            </w:tcBorders>
            <w:shd w:val="clear" w:color="auto" w:fill="D9D9D9" w:themeFill="background1" w:themeFillShade="D9"/>
            <w:vAlign w:val="center"/>
          </w:tcPr>
          <w:p w14:paraId="62DB6924" w14:textId="141D4130" w:rsidR="00D55CCC" w:rsidRPr="00F56C17" w:rsidRDefault="00D55CCC" w:rsidP="00D55CCC">
            <w:pPr>
              <w:pStyle w:val="Tablecentre"/>
            </w:pPr>
          </w:p>
        </w:tc>
        <w:tc>
          <w:tcPr>
            <w:tcW w:w="591" w:type="dxa"/>
            <w:tcBorders>
              <w:top w:val="single" w:sz="12" w:space="0" w:color="auto"/>
              <w:right w:val="single" w:sz="4" w:space="0" w:color="auto"/>
            </w:tcBorders>
            <w:shd w:val="clear" w:color="auto" w:fill="D9D9D9" w:themeFill="background1" w:themeFillShade="D9"/>
            <w:vAlign w:val="center"/>
          </w:tcPr>
          <w:p w14:paraId="1ADC5090" w14:textId="19F18DD8" w:rsidR="00D55CCC" w:rsidRPr="00F56C17" w:rsidRDefault="00D55CCC" w:rsidP="00D55CCC">
            <w:pPr>
              <w:pStyle w:val="Tablecentre"/>
            </w:pPr>
          </w:p>
        </w:tc>
        <w:tc>
          <w:tcPr>
            <w:tcW w:w="539" w:type="dxa"/>
            <w:tcBorders>
              <w:top w:val="single" w:sz="12" w:space="0" w:color="auto"/>
              <w:left w:val="single" w:sz="4" w:space="0" w:color="auto"/>
            </w:tcBorders>
            <w:vAlign w:val="center"/>
          </w:tcPr>
          <w:p w14:paraId="4613C00C" w14:textId="1E2204E1" w:rsidR="00D55CCC" w:rsidRPr="00F56C17" w:rsidRDefault="00FD63F9" w:rsidP="00D55CCC">
            <w:pPr>
              <w:pStyle w:val="Tablecentre"/>
            </w:pPr>
            <w:r>
              <w:t>3</w:t>
            </w:r>
          </w:p>
        </w:tc>
        <w:tc>
          <w:tcPr>
            <w:tcW w:w="539" w:type="dxa"/>
            <w:tcBorders>
              <w:top w:val="single" w:sz="12" w:space="0" w:color="auto"/>
            </w:tcBorders>
            <w:vAlign w:val="center"/>
          </w:tcPr>
          <w:p w14:paraId="21F177FC" w14:textId="1A21FF83" w:rsidR="00D55CCC" w:rsidRPr="00F56C17" w:rsidRDefault="00FD63F9" w:rsidP="00D55CCC">
            <w:pPr>
              <w:pStyle w:val="Tablecentre"/>
            </w:pPr>
            <w:r>
              <w:t>8</w:t>
            </w:r>
          </w:p>
        </w:tc>
      </w:tr>
      <w:tr w:rsidR="00D55CCC" w:rsidRPr="00F56C17" w14:paraId="33414E4F" w14:textId="588DAC90" w:rsidTr="00B90709">
        <w:trPr>
          <w:trHeight w:val="340"/>
        </w:trPr>
        <w:tc>
          <w:tcPr>
            <w:tcW w:w="2127" w:type="dxa"/>
            <w:vAlign w:val="center"/>
          </w:tcPr>
          <w:p w14:paraId="763A3CF4" w14:textId="77777777" w:rsidR="00D55CCC" w:rsidRPr="00F56C17" w:rsidRDefault="00D55CCC" w:rsidP="00D55CCC">
            <w:pPr>
              <w:pStyle w:val="Tableleft"/>
            </w:pPr>
            <w:r w:rsidRPr="00F56C17">
              <w:t>Braja Swain (ILRI)</w:t>
            </w:r>
          </w:p>
        </w:tc>
        <w:tc>
          <w:tcPr>
            <w:tcW w:w="2268" w:type="dxa"/>
            <w:tcBorders>
              <w:right w:val="single" w:sz="4" w:space="0" w:color="auto"/>
            </w:tcBorders>
            <w:vAlign w:val="center"/>
          </w:tcPr>
          <w:p w14:paraId="306CF97A" w14:textId="46C2D3FD" w:rsidR="00D55CCC" w:rsidRPr="00F56C17" w:rsidRDefault="00D55CCC" w:rsidP="00D55CCC">
            <w:pPr>
              <w:pStyle w:val="Tablecentre"/>
            </w:pPr>
            <w:r>
              <w:t>Value chains</w:t>
            </w:r>
          </w:p>
        </w:tc>
        <w:tc>
          <w:tcPr>
            <w:tcW w:w="590" w:type="dxa"/>
            <w:tcBorders>
              <w:left w:val="single" w:sz="4" w:space="0" w:color="auto"/>
              <w:right w:val="nil"/>
            </w:tcBorders>
            <w:shd w:val="clear" w:color="auto" w:fill="D9D9D9" w:themeFill="background1" w:themeFillShade="D9"/>
            <w:vAlign w:val="center"/>
          </w:tcPr>
          <w:p w14:paraId="72432393" w14:textId="0AE93A44" w:rsidR="00D55CCC" w:rsidRPr="00F56C17" w:rsidRDefault="00D55CCC" w:rsidP="00D55CCC">
            <w:pPr>
              <w:pStyle w:val="Tablecentre"/>
            </w:pPr>
          </w:p>
        </w:tc>
        <w:tc>
          <w:tcPr>
            <w:tcW w:w="591" w:type="dxa"/>
            <w:tcBorders>
              <w:left w:val="nil"/>
            </w:tcBorders>
            <w:shd w:val="clear" w:color="auto" w:fill="D9D9D9" w:themeFill="background1" w:themeFillShade="D9"/>
            <w:vAlign w:val="center"/>
          </w:tcPr>
          <w:p w14:paraId="58627DAB" w14:textId="405404A6" w:rsidR="00D55CCC" w:rsidRPr="00F56C17" w:rsidRDefault="00D55CCC" w:rsidP="00D55CCC">
            <w:pPr>
              <w:pStyle w:val="Tablecentre"/>
            </w:pPr>
          </w:p>
        </w:tc>
        <w:tc>
          <w:tcPr>
            <w:tcW w:w="590" w:type="dxa"/>
            <w:shd w:val="clear" w:color="auto" w:fill="D9D9D9" w:themeFill="background1" w:themeFillShade="D9"/>
            <w:vAlign w:val="center"/>
          </w:tcPr>
          <w:p w14:paraId="516F3953" w14:textId="0B8715F8" w:rsidR="00D55CCC" w:rsidRPr="00F56C17" w:rsidRDefault="00D55CCC" w:rsidP="00D55CCC">
            <w:pPr>
              <w:pStyle w:val="Tablecentre"/>
            </w:pPr>
          </w:p>
        </w:tc>
        <w:tc>
          <w:tcPr>
            <w:tcW w:w="591" w:type="dxa"/>
            <w:shd w:val="clear" w:color="auto" w:fill="D9D9D9" w:themeFill="background1" w:themeFillShade="D9"/>
            <w:vAlign w:val="center"/>
          </w:tcPr>
          <w:p w14:paraId="08524529" w14:textId="0D5A049A" w:rsidR="00D55CCC" w:rsidRPr="00F56C17" w:rsidRDefault="00D55CCC" w:rsidP="00D55CCC">
            <w:pPr>
              <w:pStyle w:val="Tablecentre"/>
            </w:pPr>
          </w:p>
        </w:tc>
        <w:tc>
          <w:tcPr>
            <w:tcW w:w="590" w:type="dxa"/>
            <w:shd w:val="clear" w:color="auto" w:fill="D9D9D9" w:themeFill="background1" w:themeFillShade="D9"/>
            <w:vAlign w:val="center"/>
          </w:tcPr>
          <w:p w14:paraId="06F6E5FA" w14:textId="18B58F97" w:rsidR="00D55CCC" w:rsidRPr="00F56C17" w:rsidRDefault="00D55CCC" w:rsidP="00D55CCC">
            <w:pPr>
              <w:pStyle w:val="Tablecentre"/>
            </w:pPr>
          </w:p>
        </w:tc>
        <w:tc>
          <w:tcPr>
            <w:tcW w:w="591" w:type="dxa"/>
            <w:tcBorders>
              <w:right w:val="single" w:sz="4" w:space="0" w:color="auto"/>
            </w:tcBorders>
            <w:shd w:val="clear" w:color="auto" w:fill="D9D9D9" w:themeFill="background1" w:themeFillShade="D9"/>
            <w:vAlign w:val="center"/>
          </w:tcPr>
          <w:p w14:paraId="771CB40E" w14:textId="659B040A" w:rsidR="00D55CCC" w:rsidRPr="00F56C17" w:rsidRDefault="00D55CCC" w:rsidP="00D55CCC">
            <w:pPr>
              <w:pStyle w:val="Tablecentre"/>
            </w:pPr>
          </w:p>
        </w:tc>
        <w:tc>
          <w:tcPr>
            <w:tcW w:w="539" w:type="dxa"/>
            <w:tcBorders>
              <w:left w:val="single" w:sz="4" w:space="0" w:color="auto"/>
            </w:tcBorders>
            <w:vAlign w:val="center"/>
          </w:tcPr>
          <w:p w14:paraId="7059981D" w14:textId="2553FAEA" w:rsidR="00D55CCC" w:rsidRPr="00F56C17" w:rsidRDefault="00FD63F9" w:rsidP="00D55CCC">
            <w:pPr>
              <w:pStyle w:val="Tablecentre"/>
            </w:pPr>
            <w:r>
              <w:t>5</w:t>
            </w:r>
          </w:p>
        </w:tc>
        <w:tc>
          <w:tcPr>
            <w:tcW w:w="539" w:type="dxa"/>
            <w:vAlign w:val="center"/>
          </w:tcPr>
          <w:p w14:paraId="4E2202F4" w14:textId="21CDB0EF" w:rsidR="00D55CCC" w:rsidRPr="00F56C17" w:rsidRDefault="00FD63F9" w:rsidP="00D55CCC">
            <w:pPr>
              <w:pStyle w:val="Tablecentre"/>
            </w:pPr>
            <w:r>
              <w:t>20</w:t>
            </w:r>
          </w:p>
        </w:tc>
      </w:tr>
      <w:tr w:rsidR="00D55CCC" w:rsidRPr="00F56C17" w14:paraId="41808B8D" w14:textId="09D82109" w:rsidTr="00B90709">
        <w:trPr>
          <w:trHeight w:val="340"/>
        </w:trPr>
        <w:tc>
          <w:tcPr>
            <w:tcW w:w="2127" w:type="dxa"/>
            <w:vAlign w:val="center"/>
          </w:tcPr>
          <w:p w14:paraId="6B65F54D" w14:textId="77777777" w:rsidR="00D55CCC" w:rsidRPr="00F56C17" w:rsidRDefault="00D55CCC" w:rsidP="00D55CCC">
            <w:pPr>
              <w:pStyle w:val="Tableleft"/>
            </w:pPr>
            <w:r w:rsidRPr="00F56C17">
              <w:t>Eunice Kariuki (ILRI)</w:t>
            </w:r>
          </w:p>
        </w:tc>
        <w:tc>
          <w:tcPr>
            <w:tcW w:w="2268" w:type="dxa"/>
            <w:tcBorders>
              <w:right w:val="single" w:sz="4" w:space="0" w:color="auto"/>
            </w:tcBorders>
            <w:vAlign w:val="center"/>
          </w:tcPr>
          <w:p w14:paraId="538E002E" w14:textId="3B4B746A" w:rsidR="00D55CCC" w:rsidRPr="00F56C17" w:rsidRDefault="00D55CCC" w:rsidP="00D55CCC">
            <w:pPr>
              <w:pStyle w:val="Tablecentre"/>
            </w:pPr>
            <w:r>
              <w:t>Data management</w:t>
            </w:r>
          </w:p>
        </w:tc>
        <w:tc>
          <w:tcPr>
            <w:tcW w:w="590" w:type="dxa"/>
            <w:tcBorders>
              <w:left w:val="single" w:sz="4" w:space="0" w:color="auto"/>
              <w:right w:val="nil"/>
            </w:tcBorders>
            <w:vAlign w:val="center"/>
          </w:tcPr>
          <w:p w14:paraId="0F77C66B" w14:textId="5FAB8EB1" w:rsidR="00D55CCC" w:rsidRPr="00F56C17" w:rsidRDefault="00D55CCC" w:rsidP="00D55CCC">
            <w:pPr>
              <w:pStyle w:val="Tablecentre"/>
            </w:pPr>
          </w:p>
        </w:tc>
        <w:tc>
          <w:tcPr>
            <w:tcW w:w="591" w:type="dxa"/>
            <w:tcBorders>
              <w:left w:val="nil"/>
            </w:tcBorders>
            <w:vAlign w:val="center"/>
          </w:tcPr>
          <w:p w14:paraId="103CC0D2" w14:textId="14B8C55A" w:rsidR="00D55CCC" w:rsidRPr="00F56C17" w:rsidRDefault="00D55CCC" w:rsidP="00D55CCC">
            <w:pPr>
              <w:pStyle w:val="Tablecentre"/>
            </w:pPr>
          </w:p>
        </w:tc>
        <w:tc>
          <w:tcPr>
            <w:tcW w:w="590" w:type="dxa"/>
            <w:shd w:val="clear" w:color="auto" w:fill="D9D9D9" w:themeFill="background1" w:themeFillShade="D9"/>
            <w:vAlign w:val="center"/>
          </w:tcPr>
          <w:p w14:paraId="46E95BBB" w14:textId="557BFA43" w:rsidR="00D55CCC" w:rsidRPr="00F56C17" w:rsidRDefault="00D55CCC" w:rsidP="00D55CCC">
            <w:pPr>
              <w:pStyle w:val="Tablecentre"/>
            </w:pPr>
          </w:p>
        </w:tc>
        <w:tc>
          <w:tcPr>
            <w:tcW w:w="591" w:type="dxa"/>
            <w:shd w:val="clear" w:color="auto" w:fill="D9D9D9" w:themeFill="background1" w:themeFillShade="D9"/>
            <w:vAlign w:val="center"/>
          </w:tcPr>
          <w:p w14:paraId="008950C9" w14:textId="32F6F387" w:rsidR="00D55CCC" w:rsidRPr="00F56C17" w:rsidRDefault="00D55CCC" w:rsidP="00D55CCC">
            <w:pPr>
              <w:pStyle w:val="Tablecentre"/>
            </w:pPr>
          </w:p>
        </w:tc>
        <w:tc>
          <w:tcPr>
            <w:tcW w:w="590" w:type="dxa"/>
            <w:shd w:val="clear" w:color="auto" w:fill="D9D9D9" w:themeFill="background1" w:themeFillShade="D9"/>
            <w:vAlign w:val="center"/>
          </w:tcPr>
          <w:p w14:paraId="09867821" w14:textId="5733FD4D" w:rsidR="00D55CCC" w:rsidRPr="00F56C17" w:rsidRDefault="00D55CCC" w:rsidP="00D55CCC">
            <w:pPr>
              <w:pStyle w:val="Tablecentre"/>
            </w:pPr>
          </w:p>
        </w:tc>
        <w:tc>
          <w:tcPr>
            <w:tcW w:w="591" w:type="dxa"/>
            <w:tcBorders>
              <w:right w:val="single" w:sz="4" w:space="0" w:color="auto"/>
            </w:tcBorders>
            <w:shd w:val="clear" w:color="auto" w:fill="D9D9D9" w:themeFill="background1" w:themeFillShade="D9"/>
            <w:vAlign w:val="center"/>
          </w:tcPr>
          <w:p w14:paraId="2F417702" w14:textId="48E16257" w:rsidR="00D55CCC" w:rsidRPr="00F56C17" w:rsidRDefault="00D55CCC" w:rsidP="00D55CCC">
            <w:pPr>
              <w:pStyle w:val="Tablecentre"/>
            </w:pPr>
          </w:p>
        </w:tc>
        <w:tc>
          <w:tcPr>
            <w:tcW w:w="539" w:type="dxa"/>
            <w:tcBorders>
              <w:left w:val="single" w:sz="4" w:space="0" w:color="auto"/>
            </w:tcBorders>
            <w:vAlign w:val="center"/>
          </w:tcPr>
          <w:p w14:paraId="36D26353" w14:textId="6B099710" w:rsidR="00D55CCC" w:rsidRPr="00F56C17" w:rsidRDefault="00FD63F9" w:rsidP="00D55CCC">
            <w:pPr>
              <w:pStyle w:val="Tablecentre"/>
            </w:pPr>
            <w:r>
              <w:t>5</w:t>
            </w:r>
          </w:p>
        </w:tc>
        <w:tc>
          <w:tcPr>
            <w:tcW w:w="539" w:type="dxa"/>
            <w:vAlign w:val="center"/>
          </w:tcPr>
          <w:p w14:paraId="43781A4E" w14:textId="69F543A3" w:rsidR="00D55CCC" w:rsidRPr="00F56C17" w:rsidRDefault="00FD63F9" w:rsidP="00D55CCC">
            <w:pPr>
              <w:pStyle w:val="Tablecentre"/>
            </w:pPr>
            <w:r>
              <w:t>18</w:t>
            </w:r>
          </w:p>
        </w:tc>
      </w:tr>
      <w:tr w:rsidR="00D55CCC" w:rsidRPr="00F56C17" w14:paraId="0760C7A4" w14:textId="77777777" w:rsidTr="00B90709">
        <w:trPr>
          <w:trHeight w:val="340"/>
        </w:trPr>
        <w:tc>
          <w:tcPr>
            <w:tcW w:w="2127" w:type="dxa"/>
            <w:tcBorders>
              <w:bottom w:val="nil"/>
            </w:tcBorders>
            <w:vAlign w:val="center"/>
          </w:tcPr>
          <w:p w14:paraId="7706B43F" w14:textId="26D79162" w:rsidR="00D55CCC" w:rsidRPr="00F56C17" w:rsidRDefault="00D55CCC" w:rsidP="00D55CCC">
            <w:pPr>
              <w:pStyle w:val="Tableleft"/>
            </w:pPr>
            <w:proofErr w:type="spellStart"/>
            <w:r>
              <w:t>Habibar</w:t>
            </w:r>
            <w:proofErr w:type="spellEnd"/>
            <w:r>
              <w:t xml:space="preserve"> Rahman (ILRI)</w:t>
            </w:r>
          </w:p>
        </w:tc>
        <w:tc>
          <w:tcPr>
            <w:tcW w:w="2268" w:type="dxa"/>
            <w:tcBorders>
              <w:bottom w:val="nil"/>
              <w:right w:val="single" w:sz="4" w:space="0" w:color="auto"/>
            </w:tcBorders>
            <w:vAlign w:val="center"/>
          </w:tcPr>
          <w:p w14:paraId="573DBC36" w14:textId="08967986" w:rsidR="00D55CCC" w:rsidRPr="00F56C17" w:rsidRDefault="00D55CCC" w:rsidP="00D55CCC">
            <w:pPr>
              <w:pStyle w:val="Tablecentre"/>
            </w:pPr>
            <w:r>
              <w:t>Institutional context</w:t>
            </w:r>
          </w:p>
        </w:tc>
        <w:tc>
          <w:tcPr>
            <w:tcW w:w="590" w:type="dxa"/>
            <w:tcBorders>
              <w:left w:val="single" w:sz="4" w:space="0" w:color="auto"/>
              <w:bottom w:val="nil"/>
              <w:right w:val="nil"/>
            </w:tcBorders>
            <w:shd w:val="clear" w:color="auto" w:fill="D9D9D9" w:themeFill="background1" w:themeFillShade="D9"/>
            <w:vAlign w:val="center"/>
          </w:tcPr>
          <w:p w14:paraId="766A5009" w14:textId="77777777" w:rsidR="00D55CCC" w:rsidRPr="00F56C17" w:rsidRDefault="00D55CCC" w:rsidP="00D55CCC">
            <w:pPr>
              <w:pStyle w:val="Tablecentre"/>
            </w:pPr>
          </w:p>
        </w:tc>
        <w:tc>
          <w:tcPr>
            <w:tcW w:w="591" w:type="dxa"/>
            <w:tcBorders>
              <w:left w:val="nil"/>
              <w:bottom w:val="nil"/>
            </w:tcBorders>
            <w:shd w:val="clear" w:color="auto" w:fill="D9D9D9" w:themeFill="background1" w:themeFillShade="D9"/>
            <w:vAlign w:val="center"/>
          </w:tcPr>
          <w:p w14:paraId="678D631A" w14:textId="77777777" w:rsidR="00D55CCC" w:rsidRPr="00F56C17" w:rsidRDefault="00D55CCC" w:rsidP="00D55CCC">
            <w:pPr>
              <w:pStyle w:val="Tablecentre"/>
            </w:pPr>
          </w:p>
        </w:tc>
        <w:tc>
          <w:tcPr>
            <w:tcW w:w="590" w:type="dxa"/>
            <w:tcBorders>
              <w:bottom w:val="nil"/>
            </w:tcBorders>
            <w:vAlign w:val="center"/>
          </w:tcPr>
          <w:p w14:paraId="361FC3C6" w14:textId="77777777" w:rsidR="00D55CCC" w:rsidRPr="00F56C17" w:rsidRDefault="00D55CCC" w:rsidP="00D55CCC">
            <w:pPr>
              <w:pStyle w:val="Tablecentre"/>
            </w:pPr>
          </w:p>
        </w:tc>
        <w:tc>
          <w:tcPr>
            <w:tcW w:w="591" w:type="dxa"/>
            <w:tcBorders>
              <w:bottom w:val="nil"/>
            </w:tcBorders>
            <w:vAlign w:val="center"/>
          </w:tcPr>
          <w:p w14:paraId="7BA648E9" w14:textId="77777777" w:rsidR="00D55CCC" w:rsidRPr="00F56C17" w:rsidRDefault="00D55CCC" w:rsidP="00D55CCC">
            <w:pPr>
              <w:pStyle w:val="Tablecentre"/>
            </w:pPr>
          </w:p>
        </w:tc>
        <w:tc>
          <w:tcPr>
            <w:tcW w:w="590" w:type="dxa"/>
            <w:tcBorders>
              <w:bottom w:val="nil"/>
            </w:tcBorders>
            <w:vAlign w:val="center"/>
          </w:tcPr>
          <w:p w14:paraId="35480583" w14:textId="77777777" w:rsidR="00D55CCC" w:rsidRPr="00F56C17" w:rsidRDefault="00D55CCC" w:rsidP="00D55CCC">
            <w:pPr>
              <w:pStyle w:val="Tablecentre"/>
            </w:pPr>
          </w:p>
        </w:tc>
        <w:tc>
          <w:tcPr>
            <w:tcW w:w="591" w:type="dxa"/>
            <w:tcBorders>
              <w:bottom w:val="nil"/>
              <w:right w:val="single" w:sz="4" w:space="0" w:color="auto"/>
            </w:tcBorders>
            <w:vAlign w:val="center"/>
          </w:tcPr>
          <w:p w14:paraId="2708379A" w14:textId="77777777" w:rsidR="00D55CCC" w:rsidRPr="00F56C17" w:rsidRDefault="00D55CCC" w:rsidP="00D55CCC">
            <w:pPr>
              <w:pStyle w:val="Tablecentre"/>
            </w:pPr>
          </w:p>
        </w:tc>
        <w:tc>
          <w:tcPr>
            <w:tcW w:w="539" w:type="dxa"/>
            <w:tcBorders>
              <w:left w:val="single" w:sz="4" w:space="0" w:color="auto"/>
              <w:bottom w:val="nil"/>
            </w:tcBorders>
            <w:vAlign w:val="center"/>
          </w:tcPr>
          <w:p w14:paraId="6FCB7894" w14:textId="0130A3C1" w:rsidR="00D55CCC" w:rsidRPr="00F56C17" w:rsidRDefault="00FD63F9" w:rsidP="00D55CCC">
            <w:pPr>
              <w:pStyle w:val="Tablecentre"/>
            </w:pPr>
            <w:r>
              <w:t>1</w:t>
            </w:r>
          </w:p>
        </w:tc>
        <w:tc>
          <w:tcPr>
            <w:tcW w:w="539" w:type="dxa"/>
            <w:tcBorders>
              <w:bottom w:val="nil"/>
            </w:tcBorders>
            <w:vAlign w:val="center"/>
          </w:tcPr>
          <w:p w14:paraId="0149CD97" w14:textId="0E3C329D" w:rsidR="00D55CCC" w:rsidRPr="00F56C17" w:rsidRDefault="00D55CCC" w:rsidP="00D55CCC">
            <w:pPr>
              <w:pStyle w:val="Tablecentre"/>
            </w:pPr>
            <w:r w:rsidRPr="00D55CCC">
              <w:t>3</w:t>
            </w:r>
          </w:p>
        </w:tc>
      </w:tr>
      <w:tr w:rsidR="00A85D75" w:rsidRPr="00F56C17" w14:paraId="66780CCA" w14:textId="77777777" w:rsidTr="00B90709">
        <w:trPr>
          <w:trHeight w:val="340"/>
        </w:trPr>
        <w:tc>
          <w:tcPr>
            <w:tcW w:w="2127" w:type="dxa"/>
            <w:vAlign w:val="center"/>
          </w:tcPr>
          <w:p w14:paraId="11421C26" w14:textId="268F83D7" w:rsidR="00A85D75" w:rsidRDefault="00A85D75" w:rsidP="00D55CCC">
            <w:pPr>
              <w:pStyle w:val="Tableleft"/>
            </w:pPr>
            <w:r>
              <w:t>Legume breeder (CIAT)</w:t>
            </w:r>
          </w:p>
        </w:tc>
        <w:tc>
          <w:tcPr>
            <w:tcW w:w="2268" w:type="dxa"/>
            <w:tcBorders>
              <w:right w:val="single" w:sz="4" w:space="0" w:color="auto"/>
            </w:tcBorders>
            <w:vAlign w:val="center"/>
          </w:tcPr>
          <w:p w14:paraId="303EA42A" w14:textId="1CA5BC7D" w:rsidR="00A85D75" w:rsidRDefault="00126B26" w:rsidP="00D55CCC">
            <w:pPr>
              <w:pStyle w:val="Tablecentre"/>
            </w:pPr>
            <w:r>
              <w:t>Legume seed systems</w:t>
            </w:r>
          </w:p>
        </w:tc>
        <w:tc>
          <w:tcPr>
            <w:tcW w:w="590" w:type="dxa"/>
            <w:tcBorders>
              <w:left w:val="single" w:sz="4" w:space="0" w:color="auto"/>
              <w:right w:val="nil"/>
            </w:tcBorders>
            <w:shd w:val="clear" w:color="auto" w:fill="D9D9D9" w:themeFill="background1" w:themeFillShade="D9"/>
            <w:vAlign w:val="center"/>
          </w:tcPr>
          <w:p w14:paraId="6E2CA83C" w14:textId="77777777" w:rsidR="00A85D75" w:rsidRPr="00F56C17" w:rsidRDefault="00A85D75" w:rsidP="00D55CCC">
            <w:pPr>
              <w:pStyle w:val="Tablecentre"/>
            </w:pPr>
          </w:p>
        </w:tc>
        <w:tc>
          <w:tcPr>
            <w:tcW w:w="591" w:type="dxa"/>
            <w:tcBorders>
              <w:left w:val="nil"/>
            </w:tcBorders>
            <w:shd w:val="clear" w:color="auto" w:fill="auto"/>
            <w:vAlign w:val="center"/>
          </w:tcPr>
          <w:p w14:paraId="423F02DA" w14:textId="77777777" w:rsidR="00A85D75" w:rsidRPr="00F56C17" w:rsidRDefault="00A85D75" w:rsidP="00D55CCC">
            <w:pPr>
              <w:pStyle w:val="Tablecentre"/>
            </w:pPr>
          </w:p>
        </w:tc>
        <w:tc>
          <w:tcPr>
            <w:tcW w:w="590" w:type="dxa"/>
            <w:shd w:val="clear" w:color="auto" w:fill="auto"/>
            <w:vAlign w:val="center"/>
          </w:tcPr>
          <w:p w14:paraId="065D452F" w14:textId="77777777" w:rsidR="00A85D75" w:rsidRPr="00F56C17" w:rsidRDefault="00A85D75" w:rsidP="00D55CCC">
            <w:pPr>
              <w:pStyle w:val="Tablecentre"/>
            </w:pPr>
          </w:p>
        </w:tc>
        <w:tc>
          <w:tcPr>
            <w:tcW w:w="591" w:type="dxa"/>
            <w:shd w:val="clear" w:color="auto" w:fill="D9D9D9" w:themeFill="background1" w:themeFillShade="D9"/>
            <w:vAlign w:val="center"/>
          </w:tcPr>
          <w:p w14:paraId="4333C356" w14:textId="77777777" w:rsidR="00A85D75" w:rsidRPr="00F56C17" w:rsidRDefault="00A85D75" w:rsidP="00D55CCC">
            <w:pPr>
              <w:pStyle w:val="Tablecentre"/>
            </w:pPr>
          </w:p>
        </w:tc>
        <w:tc>
          <w:tcPr>
            <w:tcW w:w="590" w:type="dxa"/>
            <w:vAlign w:val="center"/>
          </w:tcPr>
          <w:p w14:paraId="33D99AFA" w14:textId="77777777" w:rsidR="00A85D75" w:rsidRPr="00F56C17" w:rsidRDefault="00A85D75" w:rsidP="00D55CCC">
            <w:pPr>
              <w:pStyle w:val="Tablecentre"/>
            </w:pPr>
          </w:p>
        </w:tc>
        <w:tc>
          <w:tcPr>
            <w:tcW w:w="591" w:type="dxa"/>
            <w:tcBorders>
              <w:right w:val="single" w:sz="4" w:space="0" w:color="auto"/>
            </w:tcBorders>
            <w:shd w:val="clear" w:color="auto" w:fill="D9D9D9" w:themeFill="background1" w:themeFillShade="D9"/>
            <w:vAlign w:val="center"/>
          </w:tcPr>
          <w:p w14:paraId="3E1B2F67" w14:textId="77777777" w:rsidR="00A85D75" w:rsidRPr="00F56C17" w:rsidRDefault="00A85D75" w:rsidP="00D55CCC">
            <w:pPr>
              <w:pStyle w:val="Tablecentre"/>
            </w:pPr>
          </w:p>
        </w:tc>
        <w:tc>
          <w:tcPr>
            <w:tcW w:w="539" w:type="dxa"/>
            <w:tcBorders>
              <w:left w:val="single" w:sz="4" w:space="0" w:color="auto"/>
            </w:tcBorders>
            <w:vAlign w:val="center"/>
          </w:tcPr>
          <w:p w14:paraId="33F6604E" w14:textId="19A3D670" w:rsidR="00A85D75" w:rsidRPr="00D55CCC" w:rsidRDefault="00A85D75" w:rsidP="00D55CCC">
            <w:pPr>
              <w:pStyle w:val="Tablecentre"/>
            </w:pPr>
            <w:r>
              <w:t>1</w:t>
            </w:r>
          </w:p>
        </w:tc>
        <w:tc>
          <w:tcPr>
            <w:tcW w:w="539" w:type="dxa"/>
            <w:vAlign w:val="center"/>
          </w:tcPr>
          <w:p w14:paraId="0DD95AAB" w14:textId="4206C6EE" w:rsidR="00A85D75" w:rsidRPr="00D55CCC" w:rsidRDefault="00FD63F9" w:rsidP="00D55CCC">
            <w:pPr>
              <w:pStyle w:val="Tablecentre"/>
            </w:pPr>
            <w:r>
              <w:t>3</w:t>
            </w:r>
          </w:p>
        </w:tc>
      </w:tr>
      <w:tr w:rsidR="00FD63F9" w:rsidRPr="00F56C17" w14:paraId="40FBA92C" w14:textId="77777777" w:rsidTr="00B90709">
        <w:trPr>
          <w:trHeight w:val="340"/>
        </w:trPr>
        <w:tc>
          <w:tcPr>
            <w:tcW w:w="2127" w:type="dxa"/>
            <w:tcBorders>
              <w:bottom w:val="single" w:sz="12" w:space="0" w:color="auto"/>
            </w:tcBorders>
            <w:vAlign w:val="center"/>
          </w:tcPr>
          <w:p w14:paraId="03A3B5A0" w14:textId="1195D002" w:rsidR="00FD63F9" w:rsidRDefault="00FD63F9" w:rsidP="00D55CCC">
            <w:pPr>
              <w:pStyle w:val="Tableleft"/>
            </w:pPr>
            <w:r>
              <w:t>Social scientist (ICRISAT)</w:t>
            </w:r>
          </w:p>
        </w:tc>
        <w:tc>
          <w:tcPr>
            <w:tcW w:w="2268" w:type="dxa"/>
            <w:tcBorders>
              <w:bottom w:val="single" w:sz="12" w:space="0" w:color="auto"/>
              <w:right w:val="single" w:sz="4" w:space="0" w:color="auto"/>
            </w:tcBorders>
            <w:vAlign w:val="center"/>
          </w:tcPr>
          <w:p w14:paraId="3A7B6C0E" w14:textId="426AB21B" w:rsidR="00FD63F9" w:rsidRDefault="00FD63F9" w:rsidP="00D55CCC">
            <w:pPr>
              <w:pStyle w:val="Tablecentre"/>
            </w:pPr>
            <w:r>
              <w:t>Institutional economics</w:t>
            </w:r>
          </w:p>
        </w:tc>
        <w:tc>
          <w:tcPr>
            <w:tcW w:w="590" w:type="dxa"/>
            <w:tcBorders>
              <w:left w:val="single" w:sz="4" w:space="0" w:color="auto"/>
              <w:bottom w:val="single" w:sz="12" w:space="0" w:color="auto"/>
              <w:right w:val="nil"/>
            </w:tcBorders>
            <w:shd w:val="clear" w:color="auto" w:fill="D9D9D9" w:themeFill="background1" w:themeFillShade="D9"/>
            <w:vAlign w:val="center"/>
          </w:tcPr>
          <w:p w14:paraId="2BED2004" w14:textId="77777777" w:rsidR="00FD63F9" w:rsidRPr="00F56C17" w:rsidRDefault="00FD63F9" w:rsidP="00D55CCC">
            <w:pPr>
              <w:pStyle w:val="Tablecentre"/>
            </w:pPr>
          </w:p>
        </w:tc>
        <w:tc>
          <w:tcPr>
            <w:tcW w:w="591" w:type="dxa"/>
            <w:tcBorders>
              <w:left w:val="nil"/>
              <w:bottom w:val="single" w:sz="12" w:space="0" w:color="auto"/>
            </w:tcBorders>
            <w:shd w:val="clear" w:color="auto" w:fill="D9D9D9" w:themeFill="background1" w:themeFillShade="D9"/>
            <w:vAlign w:val="center"/>
          </w:tcPr>
          <w:p w14:paraId="42F20581" w14:textId="77777777" w:rsidR="00FD63F9" w:rsidRPr="00F56C17" w:rsidRDefault="00FD63F9" w:rsidP="00D55CCC">
            <w:pPr>
              <w:pStyle w:val="Tablecentre"/>
            </w:pPr>
          </w:p>
        </w:tc>
        <w:tc>
          <w:tcPr>
            <w:tcW w:w="590" w:type="dxa"/>
            <w:tcBorders>
              <w:bottom w:val="single" w:sz="12" w:space="0" w:color="auto"/>
            </w:tcBorders>
            <w:shd w:val="clear" w:color="auto" w:fill="D9D9D9" w:themeFill="background1" w:themeFillShade="D9"/>
            <w:vAlign w:val="center"/>
          </w:tcPr>
          <w:p w14:paraId="59CA0DB6" w14:textId="77777777" w:rsidR="00FD63F9" w:rsidRPr="00F56C17" w:rsidRDefault="00FD63F9" w:rsidP="00D55CCC">
            <w:pPr>
              <w:pStyle w:val="Tablecentre"/>
            </w:pPr>
          </w:p>
        </w:tc>
        <w:tc>
          <w:tcPr>
            <w:tcW w:w="591" w:type="dxa"/>
            <w:tcBorders>
              <w:bottom w:val="single" w:sz="12" w:space="0" w:color="auto"/>
            </w:tcBorders>
            <w:shd w:val="clear" w:color="auto" w:fill="auto"/>
            <w:vAlign w:val="center"/>
          </w:tcPr>
          <w:p w14:paraId="377CF5E1" w14:textId="77777777" w:rsidR="00FD63F9" w:rsidRPr="00F56C17" w:rsidRDefault="00FD63F9" w:rsidP="00D55CCC">
            <w:pPr>
              <w:pStyle w:val="Tablecentre"/>
            </w:pPr>
          </w:p>
        </w:tc>
        <w:tc>
          <w:tcPr>
            <w:tcW w:w="590" w:type="dxa"/>
            <w:tcBorders>
              <w:bottom w:val="single" w:sz="12" w:space="0" w:color="auto"/>
            </w:tcBorders>
            <w:vAlign w:val="center"/>
          </w:tcPr>
          <w:p w14:paraId="4FF18EC1" w14:textId="77777777" w:rsidR="00FD63F9" w:rsidRPr="00F56C17" w:rsidRDefault="00FD63F9" w:rsidP="00D55CCC">
            <w:pPr>
              <w:pStyle w:val="Tablecentre"/>
            </w:pPr>
          </w:p>
        </w:tc>
        <w:tc>
          <w:tcPr>
            <w:tcW w:w="591" w:type="dxa"/>
            <w:tcBorders>
              <w:bottom w:val="single" w:sz="12" w:space="0" w:color="auto"/>
              <w:right w:val="single" w:sz="4" w:space="0" w:color="auto"/>
            </w:tcBorders>
            <w:shd w:val="clear" w:color="auto" w:fill="D9D9D9" w:themeFill="background1" w:themeFillShade="D9"/>
            <w:vAlign w:val="center"/>
          </w:tcPr>
          <w:p w14:paraId="00FE700A" w14:textId="77777777" w:rsidR="00FD63F9" w:rsidRPr="00F56C17" w:rsidRDefault="00FD63F9" w:rsidP="00D55CCC">
            <w:pPr>
              <w:pStyle w:val="Tablecentre"/>
            </w:pPr>
          </w:p>
        </w:tc>
        <w:tc>
          <w:tcPr>
            <w:tcW w:w="539" w:type="dxa"/>
            <w:tcBorders>
              <w:left w:val="single" w:sz="4" w:space="0" w:color="auto"/>
              <w:bottom w:val="single" w:sz="12" w:space="0" w:color="auto"/>
            </w:tcBorders>
            <w:vAlign w:val="center"/>
          </w:tcPr>
          <w:p w14:paraId="3C1CCEA7" w14:textId="70BB6CB0" w:rsidR="00FD63F9" w:rsidRDefault="00FD63F9" w:rsidP="00D55CCC">
            <w:pPr>
              <w:pStyle w:val="Tablecentre"/>
            </w:pPr>
            <w:r>
              <w:t>5</w:t>
            </w:r>
          </w:p>
        </w:tc>
        <w:tc>
          <w:tcPr>
            <w:tcW w:w="539" w:type="dxa"/>
            <w:tcBorders>
              <w:bottom w:val="single" w:sz="12" w:space="0" w:color="auto"/>
            </w:tcBorders>
            <w:vAlign w:val="center"/>
          </w:tcPr>
          <w:p w14:paraId="3830BE27" w14:textId="614580CA" w:rsidR="00FD63F9" w:rsidRDefault="00FD63F9" w:rsidP="00D55CCC">
            <w:pPr>
              <w:pStyle w:val="Tablecentre"/>
            </w:pPr>
            <w:r>
              <w:t>20</w:t>
            </w:r>
          </w:p>
        </w:tc>
      </w:tr>
    </w:tbl>
    <w:p w14:paraId="3DCA19FC" w14:textId="77777777" w:rsidR="00F56C17" w:rsidRDefault="00F56C17" w:rsidP="00C177B1">
      <w:pPr>
        <w:pStyle w:val="BodyText"/>
      </w:pPr>
    </w:p>
    <w:p w14:paraId="5C5FEF1F" w14:textId="59B8EC1B" w:rsidR="00F56C17" w:rsidRDefault="00775C90" w:rsidP="00C177B1">
      <w:pPr>
        <w:pStyle w:val="BodyText"/>
      </w:pPr>
      <w:r>
        <w:t>In addition, the following p</w:t>
      </w:r>
      <w:r w:rsidR="00F56C17">
        <w:t>rimary experts</w:t>
      </w:r>
      <w:r>
        <w:t xml:space="preserve"> will be contacted:</w:t>
      </w:r>
    </w:p>
    <w:p w14:paraId="580FA2DA" w14:textId="0956135D" w:rsidR="00D55CCC" w:rsidRDefault="00D55CCC" w:rsidP="004F572B">
      <w:pPr>
        <w:pStyle w:val="ListBullet"/>
      </w:pPr>
      <w:r>
        <w:t xml:space="preserve">M </w:t>
      </w:r>
      <w:proofErr w:type="spellStart"/>
      <w:r>
        <w:t>Bl</w:t>
      </w:r>
      <w:r>
        <w:rPr>
          <w:lang w:val="de-DE"/>
        </w:rPr>
        <w:t>ümmel</w:t>
      </w:r>
      <w:proofErr w:type="spellEnd"/>
      <w:r>
        <w:rPr>
          <w:lang w:val="de-DE"/>
        </w:rPr>
        <w:t xml:space="preserve"> </w:t>
      </w:r>
      <w:r>
        <w:t>(ILRI), animal nutritionist and forage expert</w:t>
      </w:r>
    </w:p>
    <w:p w14:paraId="6E9A7FAF" w14:textId="2B46469F" w:rsidR="00775C90" w:rsidRDefault="00775C90" w:rsidP="004F572B">
      <w:pPr>
        <w:pStyle w:val="ListBullet"/>
      </w:pPr>
      <w:r>
        <w:t>S Nigam (ex-ICRISAT), groundnut breeder</w:t>
      </w:r>
    </w:p>
    <w:p w14:paraId="42100EDD" w14:textId="5491B393" w:rsidR="00775C90" w:rsidRPr="00802C7C" w:rsidRDefault="00775C90" w:rsidP="004F572B">
      <w:pPr>
        <w:pStyle w:val="ListBullet"/>
      </w:pPr>
      <w:r w:rsidRPr="00775C90">
        <w:rPr>
          <w:rFonts w:asciiTheme="minorHAnsi" w:hAnsiTheme="minorHAnsi" w:cs="Vrinda"/>
        </w:rPr>
        <w:t xml:space="preserve">P </w:t>
      </w:r>
      <w:proofErr w:type="spellStart"/>
      <w:r w:rsidRPr="00775C90">
        <w:rPr>
          <w:rFonts w:asciiTheme="minorHAnsi" w:hAnsiTheme="minorHAnsi" w:cs="Vrinda"/>
        </w:rPr>
        <w:t>Janila</w:t>
      </w:r>
      <w:proofErr w:type="spellEnd"/>
      <w:r w:rsidRPr="00775C90">
        <w:rPr>
          <w:rFonts w:asciiTheme="minorHAnsi" w:hAnsiTheme="minorHAnsi" w:cs="Vrinda"/>
        </w:rPr>
        <w:t xml:space="preserve"> (ICRISAT), groundnut seed systems</w:t>
      </w:r>
    </w:p>
    <w:p w14:paraId="6C63FCDA" w14:textId="6C75C6A1" w:rsidR="00775C90" w:rsidRDefault="00775C90" w:rsidP="004F572B">
      <w:pPr>
        <w:pStyle w:val="ListBullet"/>
      </w:pPr>
      <w:r>
        <w:t xml:space="preserve">P </w:t>
      </w:r>
      <w:proofErr w:type="spellStart"/>
      <w:r>
        <w:t>Birthal</w:t>
      </w:r>
      <w:proofErr w:type="spellEnd"/>
      <w:r>
        <w:t xml:space="preserve"> (NIAP), production systems economist</w:t>
      </w:r>
    </w:p>
    <w:p w14:paraId="2D99C9D5" w14:textId="7FE0C1BF" w:rsidR="00775C90" w:rsidRDefault="00775C90" w:rsidP="004F572B">
      <w:pPr>
        <w:pStyle w:val="ListBullet"/>
      </w:pPr>
      <w:r>
        <w:t>C Jones (ILRI), forage science</w:t>
      </w:r>
    </w:p>
    <w:p w14:paraId="1895B3CF" w14:textId="21B07921" w:rsidR="00E60C2E" w:rsidRDefault="00606C50" w:rsidP="004A3495">
      <w:pPr>
        <w:pStyle w:val="Heading2"/>
      </w:pPr>
      <w:r>
        <w:t>References</w:t>
      </w:r>
    </w:p>
    <w:p w14:paraId="7DC89312" w14:textId="40EC4B13" w:rsidR="00564594" w:rsidRPr="00564594" w:rsidRDefault="00606C50" w:rsidP="00564594">
      <w:pPr>
        <w:widowControl w:val="0"/>
        <w:autoSpaceDE w:val="0"/>
        <w:autoSpaceDN w:val="0"/>
        <w:adjustRightInd w:val="0"/>
        <w:spacing w:before="60" w:after="60"/>
        <w:ind w:left="480" w:hanging="480"/>
        <w:rPr>
          <w:rFonts w:ascii="Calibri" w:hAnsi="Calibri"/>
          <w:noProof/>
          <w:sz w:val="22"/>
        </w:rPr>
      </w:pPr>
      <w:r>
        <w:fldChar w:fldCharType="begin" w:fldLock="1"/>
      </w:r>
      <w:r w:rsidRPr="002E5B17">
        <w:rPr>
          <w:lang w:val="es-PE"/>
        </w:rPr>
        <w:instrText xml:space="preserve">ADDIN Mendeley Bibliography CSL_BIBLIOGRAPHY </w:instrText>
      </w:r>
      <w:r>
        <w:fldChar w:fldCharType="separate"/>
      </w:r>
      <w:r w:rsidR="00564594" w:rsidRPr="00564594">
        <w:rPr>
          <w:rFonts w:ascii="Calibri" w:hAnsi="Calibri"/>
          <w:noProof/>
          <w:sz w:val="22"/>
        </w:rPr>
        <w:t>Ayantunde, A.A., Delfosse, P., Fernandez-Rivera, S., Gerard, B., Dan-Gomma, A., 2007. Supplementation with groundnut haulms for sheep fattening in the West African Sahel. Trop. Anim. Health Prod. 39, 207–216. doi:10.1007/s11250-007-9009-1</w:t>
      </w:r>
    </w:p>
    <w:p w14:paraId="12BF11E1"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Ayantunde, A.A., Fernandez-rivera, S., Dan-Gomma, A., 2008. Sheep Fattening with Groundnut Haulms and Millet Bran in the West African Sahel. Rev. Élev. Méd. vét. Pays trop. 61, 215–220.</w:t>
      </w:r>
    </w:p>
    <w:p w14:paraId="471D8D6D"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Birthal, P.S., Nigam, S.N., Narayanan, A. V, Kareem, K.A., 2012. Potential Economic Benefits from Adoption of Improved Drought-tolerant Groundnut in India. Agric. Econ. Res. Rev. 25, 1–14.</w:t>
      </w:r>
    </w:p>
    <w:p w14:paraId="53C75A46"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lastRenderedPageBreak/>
        <w:t>Birthal, P.S., Nigam, S.N., Narayanan, A. V, Kareem, K.A., 2011. An economic assessment of the potential benefits of breeding for drought tolerance in crops: A case of groundnut in India, Research Bulletin. ICRISAT, Patancheru, India.</w:t>
      </w:r>
    </w:p>
    <w:p w14:paraId="21DF1ACE"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Blümmel, M., Ratnakumar, P., Vadez, V., 2012. Opportunities for exploiting variations in haulm fodder traits of intermittent drought tolerant lines in a reference collection of groundnut (Arachis hypogaea L.). F. Crop. Res. 126, 200–206. doi:10.1016/j.fcr.2011.10.004</w:t>
      </w:r>
    </w:p>
    <w:p w14:paraId="07140F7B"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Blümmel, M., Reddy, C.R., Ravi, D., 2005. Utilization Food-Fodder Traits in Groundnut. J. SAT Agric. Res. 1.</w:t>
      </w:r>
    </w:p>
    <w:p w14:paraId="27A28F77"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ICRISAT, 2009. Multi-purpose Groundnuts. ICRISAT, Patancheru, India.</w:t>
      </w:r>
    </w:p>
    <w:p w14:paraId="2266A166"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Nigam, S., Aruna, R., Yadagiri, D., Reddy, T., Subramanyam, K., Reddy, B., Kareem, K., 2005. Farmer Participatory Varietal Selection in Groundnut – A Success Story in Anantapur , Andhra Pradesh , India. J. SAT Agric. Res. 1, 1–3.</w:t>
      </w:r>
    </w:p>
    <w:p w14:paraId="03055DFF"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Samireddypalle, A., Boukar, O., Grings, E., Fatokun, C.A., Kodukula, P., Devulapalli, R., Okike, I., Blümmel, M., 2017. Cowpea and Groundnut Haulms Fodder Trading and Its Lessons for Multidimensional Cowpea Improvement for Mixed Crop Livestock Systems in West Africa. Front. Plant Sci. 8, 1–9. doi:10.3389/fpls.2017.00030</w:t>
      </w:r>
    </w:p>
    <w:p w14:paraId="7FF3A420"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Teufel, N., Johnson, N., Singh, D.K., 2011. The adoption and impact of an improved drought-tolerant, dual-purpose groundnut variety in Southern India, in: 7th Asian Society of Agricultural Economists (ASAE) International Conference 13-15/10/2011. Hanoi, Vietnam.</w:t>
      </w:r>
    </w:p>
    <w:p w14:paraId="08972E49" w14:textId="09CD6D97" w:rsidR="00161B3B" w:rsidRPr="00F71212" w:rsidRDefault="00606C50" w:rsidP="00F71212">
      <w:pPr>
        <w:pStyle w:val="BodyText"/>
        <w:rPr>
          <w:rFonts w:ascii="Cambria" w:eastAsia="Times New Roman" w:hAnsi="Cambria" w:cstheme="minorBidi"/>
          <w:b/>
          <w:bCs/>
          <w:kern w:val="32"/>
          <w:szCs w:val="22"/>
        </w:rPr>
      </w:pPr>
      <w:r>
        <w:fldChar w:fldCharType="end"/>
      </w:r>
    </w:p>
    <w:p w14:paraId="1F6B645A" w14:textId="234E28E4" w:rsidR="00D433A3" w:rsidRDefault="00D433A3" w:rsidP="00D433A3">
      <w:pPr>
        <w:pStyle w:val="Heading1"/>
      </w:pPr>
      <w:r>
        <w:lastRenderedPageBreak/>
        <w:t>Impact of forages adopted in Kenya and Ethiopia</w:t>
      </w:r>
    </w:p>
    <w:p w14:paraId="7AEC3E55" w14:textId="125205A8" w:rsidR="00D433A3" w:rsidRPr="00D433A3" w:rsidRDefault="00D433A3" w:rsidP="004A3495">
      <w:pPr>
        <w:pStyle w:val="Heading2"/>
      </w:pPr>
      <w:r>
        <w:t>Motivation</w:t>
      </w:r>
    </w:p>
    <w:p w14:paraId="75F5921B" w14:textId="588A308C" w:rsidR="00D433A3" w:rsidRDefault="00D433A3" w:rsidP="00D433A3">
      <w:pPr>
        <w:pStyle w:val="BodyText"/>
      </w:pPr>
      <w:r>
        <w:t xml:space="preserve">The adoption of planted forages has been a core characteristic of intensifying small-holder dairy systems in Kenya and Ethiopia. This development has been supported by the ILRI gene-bank through the provision of cultivars to the national agricultural research systems for screening and dissemination. A recent representative study on the adoption of planted forages in Kenya and Ethiopia has identified the most commonly grown forages in areas with significant dairy production. In Kenya Napier and Rhodes grass are widely found, while in Ethiopia </w:t>
      </w:r>
      <w:proofErr w:type="spellStart"/>
      <w:r>
        <w:t>Sesbania</w:t>
      </w:r>
      <w:proofErr w:type="spellEnd"/>
      <w:r>
        <w:t xml:space="preserve"> and Napier </w:t>
      </w:r>
      <w:r w:rsidR="004A3495">
        <w:t xml:space="preserve">grass </w:t>
      </w:r>
      <w:r>
        <w:t xml:space="preserve">are very popular species. </w:t>
      </w:r>
      <w:r w:rsidR="00686DA7">
        <w:t>Although it could be argued that within existing environments, dairy intensification is dependent on planted forages,</w:t>
      </w:r>
      <w:r>
        <w:t xml:space="preserve"> </w:t>
      </w:r>
      <w:r w:rsidR="00686DA7">
        <w:t xml:space="preserve">only </w:t>
      </w:r>
      <w:r>
        <w:t xml:space="preserve">little is known about how the adoption of planted forages in </w:t>
      </w:r>
      <w:r w:rsidR="00A95A4F">
        <w:t>such</w:t>
      </w:r>
      <w:r>
        <w:t xml:space="preserve"> systems affects </w:t>
      </w:r>
      <w:r w:rsidR="004A3495">
        <w:t xml:space="preserve">dairy </w:t>
      </w:r>
      <w:r>
        <w:t>productivity, the farm as a whole and the livelihoods of the farming families</w:t>
      </w:r>
      <w:r w:rsidR="00CF3E04">
        <w:t xml:space="preserve">. However, this is essential to promote improved forage production more successfully </w:t>
      </w:r>
      <w:r w:rsidR="00CF3E04">
        <w:fldChar w:fldCharType="begin" w:fldLock="1"/>
      </w:r>
      <w:r w:rsidR="00564594">
        <w:instrText>ADDIN CSL_CITATION { "citationItems" : [ { "id" : "ITEM-1", "itemData" : { "ISSN" : "00494763", "abstract" : "Successful adoption of forage technology is frequently associated with a need to increase production and income generation. Farmers might be expected to 'demand' new forages only when they can see a financial benefit in the short-medium term. Opportunities for farmers to generate income from livestock production are increasing dramatically as demand for animal products increases across Asia and Africa. Most of this increased demand will be met from mixed cropping-livestock enterprises, in which the majority of tropical livestock are currently raised and where production is usually dependent on low-quality crop residues. Forage research in the future will Deed to provide farmers with the means to meet the increased demand for livestock products. The challenge will be to develop research strategies that identify well adapted forages that can improve livestock production and can be grown within the spatial and temporal constraints of complex and resource-limited mixed cropping-livestock farming systems; in addition, it will be necessary to provide appropriate information on the management and economic benefits of these forages. This paper presents 2 possible approaches. In a participatory action research program on the use of forage legumes in cropping systems in Zimbabwe, the keys to successful forage adoption in rural communities are seen as: the emerging market for livestock products; a motivated and educated extension service working with a range of research specialists; and the opportunities for beneficial synergies to be exploited from a mixed livestock-maize production system. Focused benchmarking of the communities identified farmers with sufficient resources and appropriate livestock systems to benefit from improved forage. In a rice-based Indonesian farming system, simulation of forage growth and livestock production is being used to examine the possible whole-of-farm. impacts of using planted forages prior to commencement of on-farm research. Identifying the most likely spatial and temporal opportunities for growing forages and incorporating them into the feed calendar can potentially avoid costly on-farm research on practices that have doubtful economic impact; moreover, this approach enables a wide range of options to be compared rapidly. To avoid the mistakes of the past, researchers need to provide supporting evidence that investment in new forages makes a difference not only to livestock production but also to household income. They will ne\u2026", "author" : [ { "dropping-particle" : "", "family" : "Pengelly", "given" : "B C", "non-dropping-particle" : "", "parse-names" : false, "suffix" : "" }, { "dropping-particle" : "", "family" : "Whitbread", "given" : "Anthony", "non-dropping-particle" : "", "parse-names" : false, "suffix" : "" }, { "dropping-particle" : "", "family" : "Mazaiwana", "given" : "P.R.", "non-dropping-particle" : "", "parse-names" : false, "suffix" : "" }, { "dropping-particle" : "", "family" : "Mukombe", "given" : "N.", "non-dropping-particle" : "", "parse-names" : false, "suffix" : "" } ], "container-title" : "Tropical Legumes for Sustainable Farming Systems in Southern Africa and Australia", "editor" : [ { "dropping-particle" : "", "family" : "Whitbread", "given" : "Anthony M.", "non-dropping-particle" : "", "parse-names" : false, "suffix" : "" }, { "dropping-particle" : "", "family" : "Pengelly", "given" : "Bruce C", "non-dropping-particle" : "", "parse-names" : false, "suffix" : "" } ], "id" : "ITEM-1", "issued" : { "date-parts" : [ [ "2004" ] ] }, "page" : "28-37", "publisher" : "ACIAR", "publisher-place" : "Canberra, Australia", "title" : "Tropical forage research for the future - better use of research resources to deliver adoption and benefits to farmers", "type" : "chapter" }, "uris" : [ "http://www.mendeley.com/documents/?uuid=ef47f110-2c89-44ff-a3fa-a6abf9535115" ] } ], "mendeley" : { "formattedCitation" : "(Pengelly et al., 2004)", "plainTextFormattedCitation" : "(Pengelly et al., 2004)", "previouslyFormattedCitation" : "(Pengelly et al., 2004)" }, "properties" : { "noteIndex" : 0 }, "schema" : "https://github.com/citation-style-language/schema/raw/master/csl-citation.json" }</w:instrText>
      </w:r>
      <w:r w:rsidR="00CF3E04">
        <w:fldChar w:fldCharType="separate"/>
      </w:r>
      <w:r w:rsidR="00CF3E04" w:rsidRPr="00CF3E04">
        <w:rPr>
          <w:noProof/>
        </w:rPr>
        <w:t>(Pengelly et al., 2004)</w:t>
      </w:r>
      <w:r w:rsidR="00CF3E04">
        <w:fldChar w:fldCharType="end"/>
      </w:r>
      <w:r w:rsidR="00686DA7">
        <w:t xml:space="preserve"> </w:t>
      </w:r>
      <w:r>
        <w:t xml:space="preserve">. </w:t>
      </w:r>
      <w:r w:rsidR="004A3495">
        <w:t>While the time requirements for integrating forages into farming systems make randomised control trials difficult, the scope of available adoption data will allow for a selection of suitable communities for comparing various levels of adoption of various species in various settings.</w:t>
      </w:r>
    </w:p>
    <w:p w14:paraId="6FAFA704" w14:textId="40A72C01" w:rsidR="00D433A3" w:rsidRDefault="00D433A3" w:rsidP="004A3495">
      <w:pPr>
        <w:pStyle w:val="Heading2"/>
      </w:pPr>
      <w:r>
        <w:t>Objectives</w:t>
      </w:r>
    </w:p>
    <w:p w14:paraId="3D265150" w14:textId="04404630" w:rsidR="00802C7C" w:rsidRDefault="004A3495" w:rsidP="004A3495">
      <w:pPr>
        <w:pStyle w:val="ListBullet"/>
      </w:pPr>
      <w:r>
        <w:t>Determine the contribution of planted forages in intensifying dairy systems</w:t>
      </w:r>
    </w:p>
    <w:p w14:paraId="2B5202C0" w14:textId="79DE014F" w:rsidR="004A3495" w:rsidRDefault="004A3495" w:rsidP="004A3495">
      <w:pPr>
        <w:pStyle w:val="ListBullet"/>
      </w:pPr>
      <w:r>
        <w:t xml:space="preserve">Quantify effects of </w:t>
      </w:r>
      <w:r w:rsidR="00686DA7">
        <w:t xml:space="preserve">adopting planted </w:t>
      </w:r>
      <w:r>
        <w:t>forages on dairy productivity and farm structure</w:t>
      </w:r>
    </w:p>
    <w:p w14:paraId="30D14906" w14:textId="59882E47" w:rsidR="004A3495" w:rsidRDefault="0095194A" w:rsidP="004A3495">
      <w:pPr>
        <w:pStyle w:val="ListBullet"/>
      </w:pPr>
      <w:r>
        <w:t xml:space="preserve">Assess </w:t>
      </w:r>
      <w:r w:rsidR="004A3495">
        <w:t>livelihood impacts of dairy intensification</w:t>
      </w:r>
      <w:r w:rsidRPr="0095194A">
        <w:t xml:space="preserve"> </w:t>
      </w:r>
      <w:r>
        <w:t>based on adoption of planted forages</w:t>
      </w:r>
    </w:p>
    <w:p w14:paraId="5FB9267E" w14:textId="6066CBDC" w:rsidR="00D433A3" w:rsidRPr="00D433A3" w:rsidRDefault="00D433A3" w:rsidP="004A3495">
      <w:pPr>
        <w:pStyle w:val="Heading2"/>
      </w:pPr>
      <w:r>
        <w:t>Proposed activities</w:t>
      </w:r>
    </w:p>
    <w:p w14:paraId="68F30599" w14:textId="2CA95ADE" w:rsidR="00D433A3" w:rsidRDefault="00D433A3" w:rsidP="00D433A3">
      <w:pPr>
        <w:pStyle w:val="BodyText"/>
      </w:pPr>
      <w:r>
        <w:t xml:space="preserve">This study </w:t>
      </w:r>
      <w:r w:rsidR="0095194A">
        <w:t xml:space="preserve">will </w:t>
      </w:r>
      <w:r>
        <w:t xml:space="preserve">collect data on forage and feed management, farm organisation, market integration and livelihood indicators. Although recall data will allow some qualitative insights into development effects of forage adoption, the main analysis will focus on the comparison of farmers with considerable forage adoption with farmers without or with very little forages. Alternative feed sources of dairy farmers are grazing on common lands, collected fodder, crop residues and concentrates. However, the identification of a credible counter-factual sample, i.e. farmers who are statistically similar to the adopting farmers in all aspects except forage adoption, will be a critical challenge in the design of this study. The selection bias, i.e. adopting farmers have adopted because they are different from non-adopters, would be expected to be considerable with technologies that have been promoted for an extended period. However, despite forages having been discussed as a viable development option, not all areas have actually been reached by forage dissemination efforts. The adoption survey results will be able to identify areas with strong forage outreach as well as areas which have so far been neglected in this regard. Assuming that the reasons for identifying outreach areas are not associated with farmer characteristics, this differentiation </w:t>
      </w:r>
      <w:r w:rsidR="0095194A">
        <w:t xml:space="preserve">will </w:t>
      </w:r>
      <w:r>
        <w:t xml:space="preserve">provide </w:t>
      </w:r>
      <w:r w:rsidR="0095194A">
        <w:t>the</w:t>
      </w:r>
      <w:r>
        <w:t xml:space="preserve"> basis for identifying a counter-factual. In addition, statistical procedures such as matching techniques and instrumental variables will be employed to increase the explanatory power of the data analysis.</w:t>
      </w:r>
      <w:r w:rsidR="0095194A">
        <w:t xml:space="preserve"> Ensuring that the sample includes farmers adopting various technologies associated with intensification (e.g. improved breeds, concentrate feeding, animal health services) will help with determining the specific contribution of planted forages.</w:t>
      </w:r>
    </w:p>
    <w:p w14:paraId="4E2ABF15" w14:textId="780FBC07" w:rsidR="00D433A3" w:rsidRPr="00F8322F" w:rsidRDefault="00D433A3" w:rsidP="00D433A3">
      <w:pPr>
        <w:pStyle w:val="BodyText"/>
      </w:pPr>
      <w:r>
        <w:t xml:space="preserve">In order to capture the considerable variation in intensity levels of dairy production found in both countries, it appears useful to select a pair of contrasting administrative units for sampling in each country. The development stage of dairy marketing has previously been applied successfully as a differentiating criterion. A sample size of 400hh per country, based on a sample cell size of 100hh and a 2x2 design structure (adopters/non-adopters; 2 counties (regions) / country) might be appropriate. Although this would allow the expected variation within cells to be captured it would not allow much room for sub-divisions within cells for more specific comparisons. Nevertheless, a detailed calculation </w:t>
      </w:r>
      <w:r>
        <w:lastRenderedPageBreak/>
        <w:t>including ICC estimates and specifying minimum accuracy/detectable differences</w:t>
      </w:r>
      <w:r w:rsidRPr="00FC03E9">
        <w:t xml:space="preserve"> </w:t>
      </w:r>
      <w:r>
        <w:t>would be required to confirm this sample size as adequate.</w:t>
      </w:r>
    </w:p>
    <w:p w14:paraId="62A7970E" w14:textId="0EAD6064" w:rsidR="00D433A3" w:rsidRDefault="00D433A3" w:rsidP="004A3495">
      <w:pPr>
        <w:pStyle w:val="Heading2"/>
      </w:pPr>
      <w:r>
        <w:t xml:space="preserve">Project </w:t>
      </w:r>
      <w:r w:rsidR="006D10AE">
        <w:t>o</w:t>
      </w:r>
      <w:r>
        <w:t>utputs</w:t>
      </w:r>
    </w:p>
    <w:p w14:paraId="424F6541" w14:textId="3D5D3711" w:rsidR="00D433A3" w:rsidRDefault="00D433A3" w:rsidP="00D433A3">
      <w:pPr>
        <w:pStyle w:val="BodyText"/>
      </w:pPr>
      <w:r>
        <w:t>The results of this study will contribute to the limited literature body on the impact of forages on small-holder production; an area which has long been promoted as essential for development but which has seen only</w:t>
      </w:r>
      <w:r w:rsidR="00156D76">
        <w:t xml:space="preserve"> limited development investment, perhaps also due to the lack of evidence.</w:t>
      </w:r>
    </w:p>
    <w:p w14:paraId="34249934" w14:textId="77777777" w:rsidR="00B43C97" w:rsidRDefault="00B43C97" w:rsidP="00D433A3">
      <w:pPr>
        <w:pStyle w:val="BodyText"/>
      </w:pPr>
      <w:r>
        <w:t>In particular, this study will produce</w:t>
      </w:r>
    </w:p>
    <w:p w14:paraId="5FFC81E9" w14:textId="77777777" w:rsidR="00B43C97" w:rsidRDefault="00B43C97" w:rsidP="00B43C97">
      <w:pPr>
        <w:pStyle w:val="ListBullet"/>
      </w:pPr>
      <w:r>
        <w:t>A report and a brief on the contribution of planted forages to dairy diets, indicating how essential this contribution is to the introduction of cross-bred dairy animals for improving milk yields</w:t>
      </w:r>
    </w:p>
    <w:p w14:paraId="73600841" w14:textId="77777777" w:rsidR="00B43C97" w:rsidRDefault="00B43C97" w:rsidP="00B43C97">
      <w:pPr>
        <w:pStyle w:val="ListBullet"/>
      </w:pPr>
      <w:r>
        <w:t>A journal paper on the reorganisation of farms towards intensifying dairy and away from cash crops to increase land productivity on land-constrained small-holder farms with good market access.</w:t>
      </w:r>
    </w:p>
    <w:p w14:paraId="6E228535" w14:textId="0792C2FD" w:rsidR="00156D76" w:rsidRDefault="00B43C97" w:rsidP="00B43C97">
      <w:pPr>
        <w:pStyle w:val="ListBullet"/>
      </w:pPr>
      <w:r>
        <w:t>A journal paper on the contribution of intensifying dairy production to the development of household livelihoods.</w:t>
      </w:r>
    </w:p>
    <w:p w14:paraId="2B381B44" w14:textId="07C6F45D" w:rsidR="00156D76" w:rsidRDefault="00AF251E" w:rsidP="00AF251E">
      <w:pPr>
        <w:pStyle w:val="Heading2"/>
      </w:pPr>
      <w:r>
        <w:t>Budget</w:t>
      </w:r>
    </w:p>
    <w:p w14:paraId="35B54FE6" w14:textId="39425F23" w:rsidR="00AF251E" w:rsidRDefault="00AF251E" w:rsidP="00AF251E">
      <w:pPr>
        <w:pStyle w:val="BodyText"/>
      </w:pPr>
      <w:r>
        <w:t>See attached spread-sheet</w:t>
      </w:r>
    </w:p>
    <w:p w14:paraId="03A7380D" w14:textId="3B3C8776" w:rsidR="00564594" w:rsidRDefault="00564594" w:rsidP="00B90709">
      <w:pPr>
        <w:pStyle w:val="Heading2"/>
      </w:pPr>
      <w:r>
        <w:t>References</w:t>
      </w:r>
    </w:p>
    <w:p w14:paraId="41E572E5" w14:textId="77777777" w:rsidR="00564594" w:rsidRPr="00564594" w:rsidRDefault="00564594" w:rsidP="00564594">
      <w:pPr>
        <w:widowControl w:val="0"/>
        <w:autoSpaceDE w:val="0"/>
        <w:autoSpaceDN w:val="0"/>
        <w:adjustRightInd w:val="0"/>
        <w:spacing w:before="60" w:after="60"/>
        <w:ind w:left="480" w:hanging="480"/>
        <w:rPr>
          <w:rFonts w:ascii="Calibri" w:hAnsi="Calibri"/>
          <w:noProof/>
          <w:sz w:val="22"/>
        </w:rPr>
      </w:pPr>
      <w:r w:rsidRPr="00564594">
        <w:rPr>
          <w:rFonts w:ascii="Calibri" w:hAnsi="Calibri"/>
          <w:noProof/>
          <w:sz w:val="22"/>
        </w:rPr>
        <w:t>Pengelly, B.C., Whitbread, A., Mazaiwana, P.R., Mukombe, N., 2004. Tropical forage research for the future - better use of research resources to deliver adoption and benefits to farmers, in: Whitbread, A.M., Pengelly, B.C. (Eds.), Tropical Legumes for Sustainable Farming Systems in Southern Africa and Australia. ACIAR, Canberra, Australia, pp. 28–37.</w:t>
      </w:r>
    </w:p>
    <w:p w14:paraId="10DE4CFF" w14:textId="3E258ED6" w:rsidR="00564594" w:rsidRPr="00564594" w:rsidRDefault="00564594" w:rsidP="00564594">
      <w:pPr>
        <w:pStyle w:val="BodyText"/>
      </w:pPr>
    </w:p>
    <w:p w14:paraId="4144127F" w14:textId="6F075D67" w:rsidR="00161B3B" w:rsidRDefault="00161B3B" w:rsidP="00161B3B">
      <w:pPr>
        <w:pStyle w:val="Heading1"/>
      </w:pPr>
      <w:r>
        <w:lastRenderedPageBreak/>
        <w:t>Adoption and impact of improved Napier cultivars</w:t>
      </w:r>
    </w:p>
    <w:p w14:paraId="00DCEBCD" w14:textId="364EB871" w:rsidR="00D433A3" w:rsidRDefault="00D433A3" w:rsidP="004A3495">
      <w:pPr>
        <w:pStyle w:val="Heading2"/>
      </w:pPr>
      <w:r>
        <w:t>Motivation</w:t>
      </w:r>
    </w:p>
    <w:p w14:paraId="6B866BF9" w14:textId="68011426" w:rsidR="00161B3B" w:rsidRDefault="00161B3B" w:rsidP="00EB0061">
      <w:pPr>
        <w:pStyle w:val="BodyText"/>
      </w:pPr>
      <w:r>
        <w:t xml:space="preserve">The most widely adopted improved forage in Eastern Africa is Napier grass. </w:t>
      </w:r>
      <w:r w:rsidR="003315A0">
        <w:t xml:space="preserve">However, two diseases, Napier stunt and Napier smut, have considerably reduced productivity for some farmers. The </w:t>
      </w:r>
      <w:r>
        <w:t>ILRI</w:t>
      </w:r>
      <w:r w:rsidR="003315A0">
        <w:t xml:space="preserve"> gene-bank has supplied the Kenyan Agricultural Research Institute (KARI, now KALRO) with cultivars to be screened for disease resistance or tolerance. Out of these</w:t>
      </w:r>
      <w:r w:rsidR="00FC5FC6">
        <w:t>,</w:t>
      </w:r>
      <w:r w:rsidR="003315A0">
        <w:t xml:space="preserve"> two varieties have been developed, </w:t>
      </w:r>
      <w:r>
        <w:t>Kakamega 1</w:t>
      </w:r>
      <w:r w:rsidR="003315A0">
        <w:t xml:space="preserve"> and</w:t>
      </w:r>
      <w:r>
        <w:t xml:space="preserve"> Kakamega 2</w:t>
      </w:r>
      <w:r w:rsidR="003315A0">
        <w:t xml:space="preserve">, which are especially tolerant against smut disease </w:t>
      </w:r>
      <w:r w:rsidR="00FC5FC6">
        <w:t>and</w:t>
      </w:r>
      <w:r w:rsidR="003315A0">
        <w:t xml:space="preserve"> have therefore proved to be popular with farmers, especially in the intensive dairy areas of central Kenya. </w:t>
      </w:r>
      <w:r>
        <w:t xml:space="preserve">However, in-field identification of Napier grass varieties is extremely difficult. </w:t>
      </w:r>
      <w:r w:rsidR="003315A0">
        <w:t xml:space="preserve">This may </w:t>
      </w:r>
      <w:r w:rsidR="00FC5FC6">
        <w:t xml:space="preserve">have </w:t>
      </w:r>
      <w:r w:rsidR="003315A0">
        <w:t>contributed to the fact, that</w:t>
      </w:r>
      <w:r w:rsidR="00FC5FC6">
        <w:t xml:space="preserve"> neither actual adoption nor farm effects nor</w:t>
      </w:r>
      <w:r>
        <w:t xml:space="preserve"> household impacts of these improved varieties have yet been determined</w:t>
      </w:r>
      <w:r w:rsidR="003315A0">
        <w:t xml:space="preserve">, </w:t>
      </w:r>
      <w:r w:rsidR="00FC5FC6">
        <w:t>whether</w:t>
      </w:r>
      <w:r w:rsidR="003315A0">
        <w:t xml:space="preserve"> in comparison to</w:t>
      </w:r>
      <w:r w:rsidR="00FC5FC6">
        <w:t xml:space="preserve"> other high-yielding varieties </w:t>
      </w:r>
      <w:r w:rsidR="003315A0">
        <w:t>or to traditional varieties.</w:t>
      </w:r>
      <w:r w:rsidR="0074781E">
        <w:t xml:space="preserve"> Nevertheless, farmers are aware of different varieties and have expressed their perceptions on specific characteristics and their preferences.</w:t>
      </w:r>
    </w:p>
    <w:p w14:paraId="05069DE6" w14:textId="71A47479" w:rsidR="00D433A3" w:rsidRDefault="00D433A3" w:rsidP="004A3495">
      <w:pPr>
        <w:pStyle w:val="Heading2"/>
      </w:pPr>
      <w:r>
        <w:t>Objectives</w:t>
      </w:r>
    </w:p>
    <w:p w14:paraId="69E42D23" w14:textId="2381FA7C" w:rsidR="00D433A3" w:rsidRDefault="00FC5FC6" w:rsidP="00FC5FC6">
      <w:pPr>
        <w:pStyle w:val="ListBullet"/>
      </w:pPr>
      <w:r>
        <w:t>Quantify adoption of Kakamega 1 and Kakamega 2 varieties of Napier grass in central Kenya.</w:t>
      </w:r>
    </w:p>
    <w:p w14:paraId="76FCC85A" w14:textId="77777777" w:rsidR="00FC5FC6" w:rsidRDefault="00FC5FC6" w:rsidP="00FC5FC6">
      <w:pPr>
        <w:pStyle w:val="ListBullet"/>
      </w:pPr>
      <w:r>
        <w:t>Determine varietal differences in forage productivity</w:t>
      </w:r>
    </w:p>
    <w:p w14:paraId="734AFE5D" w14:textId="7134E1A7" w:rsidR="00FC5FC6" w:rsidRDefault="00FC5FC6" w:rsidP="00FC5FC6">
      <w:pPr>
        <w:pStyle w:val="ListBullet"/>
      </w:pPr>
      <w:r>
        <w:t>Determine differences in dairy productivity, farm management and household livelihoods between adoptin</w:t>
      </w:r>
      <w:r w:rsidR="0074781E">
        <w:t>g</w:t>
      </w:r>
      <w:r>
        <w:t xml:space="preserve"> and non-adopting farmers</w:t>
      </w:r>
    </w:p>
    <w:p w14:paraId="4D154137" w14:textId="14C1B590" w:rsidR="00D433A3" w:rsidRPr="00D433A3" w:rsidRDefault="00D433A3" w:rsidP="004A3495">
      <w:pPr>
        <w:pStyle w:val="Heading2"/>
      </w:pPr>
      <w:r>
        <w:t xml:space="preserve">Proposed </w:t>
      </w:r>
      <w:r w:rsidR="0074781E">
        <w:t>a</w:t>
      </w:r>
      <w:r>
        <w:t>ctivities</w:t>
      </w:r>
    </w:p>
    <w:p w14:paraId="719CE64F" w14:textId="7B1ECF3B" w:rsidR="00161B3B" w:rsidRDefault="00161B3B" w:rsidP="00EB0061">
      <w:pPr>
        <w:pStyle w:val="BodyText"/>
      </w:pPr>
      <w:r>
        <w:t xml:space="preserve">In order to assess </w:t>
      </w:r>
      <w:r w:rsidR="0074781E">
        <w:t xml:space="preserve">the </w:t>
      </w:r>
      <w:r>
        <w:t>impact</w:t>
      </w:r>
      <w:r w:rsidR="0074781E">
        <w:t xml:space="preserve"> of improved Napier grass varieties,</w:t>
      </w:r>
      <w:r>
        <w:t xml:space="preserve"> the difficulty of determining varieties </w:t>
      </w:r>
      <w:r w:rsidR="003315A0">
        <w:t>may</w:t>
      </w:r>
      <w:r>
        <w:t xml:space="preserve"> actually</w:t>
      </w:r>
      <w:r w:rsidR="003315A0">
        <w:t xml:space="preserve"> be</w:t>
      </w:r>
      <w:r>
        <w:t xml:space="preserve"> an advantage: With neither farmers nor researchers really being sure of which varieties </w:t>
      </w:r>
      <w:r w:rsidR="004E2104">
        <w:t xml:space="preserve">of improved Napier </w:t>
      </w:r>
      <w:r>
        <w:t>are being grown (planting material is often passed from farmer to farmer, restricting source determination) the design would practically resemble a double-blind test.</w:t>
      </w:r>
      <w:r w:rsidR="00DC1D19">
        <w:t xml:space="preserve"> </w:t>
      </w:r>
      <w:r>
        <w:t xml:space="preserve">The approach would be to identify areas with a sufficient density of farmers growing improved Napier in central Kenya and randomly select farmers </w:t>
      </w:r>
      <w:r w:rsidR="00DC1D19">
        <w:t xml:space="preserve">who report </w:t>
      </w:r>
      <w:r>
        <w:t>growing improved varieties.</w:t>
      </w:r>
    </w:p>
    <w:p w14:paraId="4750DFBB" w14:textId="3987F7A3" w:rsidR="00161B3B" w:rsidRDefault="00161B3B" w:rsidP="00EB0061">
      <w:pPr>
        <w:pStyle w:val="BodyText"/>
      </w:pPr>
      <w:r>
        <w:t>The varieties farmers are actually growing would be determined by DNA finger-printing, the costs of which have been decreasing considerably.</w:t>
      </w:r>
      <w:r w:rsidR="00DC1D19">
        <w:t xml:space="preserve"> </w:t>
      </w:r>
      <w:r>
        <w:t xml:space="preserve">The results </w:t>
      </w:r>
      <w:r w:rsidR="00DC1D19">
        <w:t xml:space="preserve">of the variety determination </w:t>
      </w:r>
      <w:r>
        <w:t>would initially allow for a comparison of what farmers think they are growing with what they are actually growing</w:t>
      </w:r>
      <w:r w:rsidR="00DC1D19">
        <w:t>.</w:t>
      </w:r>
      <w:r>
        <w:t xml:space="preserve"> </w:t>
      </w:r>
      <w:r w:rsidR="00DC1D19">
        <w:t xml:space="preserve">Subsequently, </w:t>
      </w:r>
      <w:r>
        <w:t>actual adoption</w:t>
      </w:r>
      <w:r w:rsidR="00DC1D19">
        <w:t xml:space="preserve"> rates would be determined as well as </w:t>
      </w:r>
      <w:r>
        <w:t xml:space="preserve">factors </w:t>
      </w:r>
      <w:r w:rsidR="00DC1D19">
        <w:t xml:space="preserve">supporting or </w:t>
      </w:r>
      <w:r>
        <w:t>limit</w:t>
      </w:r>
      <w:r w:rsidR="00DC1D19">
        <w:t>ing</w:t>
      </w:r>
      <w:r>
        <w:t xml:space="preserve"> adoption</w:t>
      </w:r>
      <w:r w:rsidR="00DC1D19">
        <w:t xml:space="preserve"> at the household level</w:t>
      </w:r>
      <w:r>
        <w:t>.</w:t>
      </w:r>
    </w:p>
    <w:p w14:paraId="04A3E39A" w14:textId="0C6EF09E" w:rsidR="00161B3B" w:rsidRDefault="00161B3B" w:rsidP="00EB0061">
      <w:pPr>
        <w:pStyle w:val="BodyText"/>
      </w:pPr>
      <w:r>
        <w:t xml:space="preserve">Based on the varieties </w:t>
      </w:r>
      <w:r w:rsidR="00DC1D19">
        <w:t xml:space="preserve">they are </w:t>
      </w:r>
      <w:r>
        <w:t>grow</w:t>
      </w:r>
      <w:r w:rsidR="00DC1D19">
        <w:t>ing,</w:t>
      </w:r>
      <w:r>
        <w:t xml:space="preserve"> farmers would be categorised</w:t>
      </w:r>
      <w:r w:rsidR="00DC1D19">
        <w:t xml:space="preserve"> into adopters and non-adopters</w:t>
      </w:r>
      <w:r w:rsidR="004E2104">
        <w:t xml:space="preserve"> of the Kakamega varieties</w:t>
      </w:r>
      <w:r w:rsidR="00DC1D19">
        <w:t xml:space="preserve"> in order to create an efficient design for </w:t>
      </w:r>
      <w:r w:rsidR="004E2104">
        <w:t>an</w:t>
      </w:r>
      <w:r w:rsidR="00DC1D19">
        <w:t xml:space="preserve"> </w:t>
      </w:r>
      <w:r w:rsidR="004E2104">
        <w:t>impact assessment, assuming that a sufficient number of households would fall into both adopter and non-adopter categories</w:t>
      </w:r>
      <w:r w:rsidR="00DC1D19">
        <w:t xml:space="preserve">. </w:t>
      </w:r>
      <w:r w:rsidR="004E2104">
        <w:t>A household survey</w:t>
      </w:r>
      <w:r w:rsidR="00DC1D19">
        <w:t xml:space="preserve"> would </w:t>
      </w:r>
      <w:r w:rsidR="004E2104">
        <w:t xml:space="preserve">then </w:t>
      </w:r>
      <w:r w:rsidR="00DC1D19">
        <w:t>collect data on</w:t>
      </w:r>
      <w:r w:rsidR="0074781E">
        <w:t xml:space="preserve"> variety perceptions,</w:t>
      </w:r>
      <w:r w:rsidR="00DC1D19">
        <w:t xml:space="preserve"> f</w:t>
      </w:r>
      <w:r>
        <w:t>arm management characteristics and household livelihood indicators.</w:t>
      </w:r>
    </w:p>
    <w:p w14:paraId="1E5F362E" w14:textId="665F0C62" w:rsidR="00161B3B" w:rsidRDefault="00161B3B" w:rsidP="00EB0061">
      <w:pPr>
        <w:pStyle w:val="BodyText"/>
      </w:pPr>
      <w:r>
        <w:t xml:space="preserve">The </w:t>
      </w:r>
      <w:r w:rsidR="00DC1D19">
        <w:t>collected data</w:t>
      </w:r>
      <w:r>
        <w:t xml:space="preserve"> would allow the estimation of </w:t>
      </w:r>
      <w:r w:rsidR="00DC1D19">
        <w:t xml:space="preserve">differences in </w:t>
      </w:r>
      <w:r>
        <w:t>Napier productivity, in feed management</w:t>
      </w:r>
      <w:r w:rsidR="00EE1516">
        <w:t>,</w:t>
      </w:r>
      <w:r>
        <w:t xml:space="preserve"> </w:t>
      </w:r>
      <w:r w:rsidR="00EE1516">
        <w:t xml:space="preserve">in </w:t>
      </w:r>
      <w:r w:rsidR="00DC1D19">
        <w:t xml:space="preserve">livestock </w:t>
      </w:r>
      <w:r>
        <w:t>yields</w:t>
      </w:r>
      <w:r w:rsidR="00EE1516">
        <w:t xml:space="preserve"> and in household livelihood indicators</w:t>
      </w:r>
      <w:r>
        <w:t>. They would also show, how far along the impact pathway</w:t>
      </w:r>
      <w:r w:rsidR="004E2104">
        <w:t xml:space="preserve"> the</w:t>
      </w:r>
      <w:r>
        <w:t xml:space="preserve"> positive effects of </w:t>
      </w:r>
      <w:r w:rsidR="004E2104">
        <w:t>these specific</w:t>
      </w:r>
      <w:r>
        <w:t xml:space="preserve"> Napier</w:t>
      </w:r>
      <w:r w:rsidR="004E2104">
        <w:t xml:space="preserve"> varieties compared to other improved varieties</w:t>
      </w:r>
      <w:r>
        <w:t xml:space="preserve"> can discerned</w:t>
      </w:r>
      <w:r w:rsidR="0074781E">
        <w:t xml:space="preserve">. Linking this to the perceptions of farmers on available varieties will help identifying </w:t>
      </w:r>
      <w:r>
        <w:t xml:space="preserve">interventions </w:t>
      </w:r>
      <w:r w:rsidR="0074781E">
        <w:t xml:space="preserve">which </w:t>
      </w:r>
      <w:r>
        <w:t>might facilitate greater uptake</w:t>
      </w:r>
      <w:r w:rsidR="0074781E">
        <w:t xml:space="preserve"> of disease resistant</w:t>
      </w:r>
      <w:r>
        <w:t>.</w:t>
      </w:r>
    </w:p>
    <w:p w14:paraId="47C77B27" w14:textId="676AF8D8" w:rsidR="00D433A3" w:rsidRDefault="00D433A3" w:rsidP="00E447D3">
      <w:pPr>
        <w:pStyle w:val="Heading2"/>
      </w:pPr>
      <w:r>
        <w:t xml:space="preserve">Project </w:t>
      </w:r>
      <w:r w:rsidR="006D10AE">
        <w:t>o</w:t>
      </w:r>
      <w:r>
        <w:t>utputs</w:t>
      </w:r>
    </w:p>
    <w:p w14:paraId="67BC8750" w14:textId="0DD9703B" w:rsidR="00AF251E" w:rsidRDefault="00E636AE" w:rsidP="00EB0061">
      <w:pPr>
        <w:pStyle w:val="BodyText"/>
      </w:pPr>
      <w:r>
        <w:t xml:space="preserve">The </w:t>
      </w:r>
      <w:r w:rsidR="004E2104">
        <w:t xml:space="preserve">study </w:t>
      </w:r>
      <w:r>
        <w:t xml:space="preserve">outputs would allow for an insight into the diffusion of varieties within one of the most important forage crops in Eastern Africa, essential for assessing the potential of further genetic improvements. The farm-level assessment of productivity effects and livelihood impacts would </w:t>
      </w:r>
      <w:r>
        <w:lastRenderedPageBreak/>
        <w:t>contribute to the understanding of how various technical interventions into intensifying farming systems relate to household benefits</w:t>
      </w:r>
      <w:r w:rsidR="0074781E">
        <w:t>, also in comparison to farmer perceptions.</w:t>
      </w:r>
    </w:p>
    <w:p w14:paraId="210C2FAD" w14:textId="55B026EC" w:rsidR="00161B3B" w:rsidRDefault="00AF251E" w:rsidP="00AF251E">
      <w:pPr>
        <w:pStyle w:val="Heading2"/>
      </w:pPr>
      <w:r>
        <w:t>Budget</w:t>
      </w:r>
    </w:p>
    <w:p w14:paraId="2D9C0673" w14:textId="61D1FE9A" w:rsidR="00AF251E" w:rsidRPr="00AF251E" w:rsidRDefault="00AF251E" w:rsidP="00AF251E">
      <w:pPr>
        <w:pStyle w:val="BodyText"/>
      </w:pPr>
      <w:r>
        <w:t>See attached spread-sheet.</w:t>
      </w:r>
    </w:p>
    <w:sectPr w:rsidR="00AF251E" w:rsidRPr="00AF251E" w:rsidSect="00F24C25">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70D62" w14:textId="77777777" w:rsidR="007501A6" w:rsidRDefault="007501A6" w:rsidP="00536517">
      <w:pPr>
        <w:spacing w:before="0" w:after="0"/>
      </w:pPr>
      <w:r>
        <w:separator/>
      </w:r>
    </w:p>
  </w:endnote>
  <w:endnote w:type="continuationSeparator" w:id="0">
    <w:p w14:paraId="1BF9BBB4" w14:textId="77777777" w:rsidR="007501A6" w:rsidRDefault="007501A6" w:rsidP="0053651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BA28E" w14:textId="14DED1C3" w:rsidR="00686DA7" w:rsidRPr="001C26A3" w:rsidRDefault="00686DA7">
    <w:pPr>
      <w:pStyle w:val="Footer"/>
      <w:rPr>
        <w:sz w:val="20"/>
        <w:szCs w:val="20"/>
      </w:rPr>
    </w:pPr>
    <w:r w:rsidRPr="001C26A3">
      <w:rPr>
        <w:sz w:val="20"/>
        <w:szCs w:val="20"/>
      </w:rPr>
      <w:fldChar w:fldCharType="begin"/>
    </w:r>
    <w:r w:rsidRPr="00815408">
      <w:rPr>
        <w:sz w:val="20"/>
        <w:szCs w:val="20"/>
      </w:rPr>
      <w:instrText xml:space="preserve"> FILENAME  </w:instrText>
    </w:r>
    <w:r w:rsidRPr="001C26A3">
      <w:rPr>
        <w:sz w:val="20"/>
        <w:szCs w:val="20"/>
      </w:rPr>
      <w:fldChar w:fldCharType="separate"/>
    </w:r>
    <w:r>
      <w:rPr>
        <w:noProof/>
        <w:sz w:val="20"/>
        <w:szCs w:val="20"/>
      </w:rPr>
      <w:t>CRP_Livestock_SIF_IA_Proposal_v11.docx</w:t>
    </w:r>
    <w:r w:rsidRPr="001C26A3">
      <w:rPr>
        <w:sz w:val="20"/>
        <w:szCs w:val="20"/>
      </w:rPr>
      <w:fldChar w:fldCharType="end"/>
    </w:r>
    <w:r w:rsidRPr="001C26A3">
      <w:rPr>
        <w:sz w:val="20"/>
        <w:szCs w:val="20"/>
      </w:rPr>
      <w:t xml:space="preserve">, </w:t>
    </w:r>
    <w:r w:rsidRPr="001C26A3">
      <w:rPr>
        <w:sz w:val="20"/>
        <w:szCs w:val="20"/>
      </w:rPr>
      <w:fldChar w:fldCharType="begin"/>
    </w:r>
    <w:r w:rsidRPr="001C26A3">
      <w:rPr>
        <w:sz w:val="20"/>
        <w:szCs w:val="20"/>
      </w:rPr>
      <w:instrText xml:space="preserve"> SAVEDATE  \@ "dd/MM/yyyy"  \* MERGEFORMAT </w:instrText>
    </w:r>
    <w:r w:rsidRPr="001C26A3">
      <w:rPr>
        <w:sz w:val="20"/>
        <w:szCs w:val="20"/>
      </w:rPr>
      <w:fldChar w:fldCharType="separate"/>
    </w:r>
    <w:r w:rsidR="00101DE0">
      <w:rPr>
        <w:noProof/>
        <w:sz w:val="20"/>
        <w:szCs w:val="20"/>
      </w:rPr>
      <w:t>06/09/2017</w:t>
    </w:r>
    <w:r w:rsidRPr="001C26A3">
      <w:rPr>
        <w:sz w:val="20"/>
        <w:szCs w:val="20"/>
      </w:rPr>
      <w:fldChar w:fldCharType="end"/>
    </w:r>
    <w:r w:rsidRPr="001C26A3">
      <w:rPr>
        <w:sz w:val="20"/>
        <w:szCs w:val="20"/>
      </w:rPr>
      <w:tab/>
    </w:r>
    <w:r w:rsidRPr="001C26A3">
      <w:rPr>
        <w:sz w:val="20"/>
        <w:szCs w:val="20"/>
      </w:rPr>
      <w:tab/>
    </w:r>
    <w:r w:rsidRPr="001C26A3">
      <w:rPr>
        <w:sz w:val="20"/>
        <w:szCs w:val="20"/>
      </w:rPr>
      <w:fldChar w:fldCharType="begin"/>
    </w:r>
    <w:r w:rsidRPr="001C26A3">
      <w:rPr>
        <w:sz w:val="20"/>
        <w:szCs w:val="20"/>
      </w:rPr>
      <w:instrText xml:space="preserve"> PAGE  \* Arabic  \* MERGEFORMAT </w:instrText>
    </w:r>
    <w:r w:rsidRPr="001C26A3">
      <w:rPr>
        <w:sz w:val="20"/>
        <w:szCs w:val="20"/>
      </w:rPr>
      <w:fldChar w:fldCharType="separate"/>
    </w:r>
    <w:r w:rsidR="00B90709">
      <w:rPr>
        <w:noProof/>
        <w:sz w:val="20"/>
        <w:szCs w:val="20"/>
      </w:rPr>
      <w:t>14</w:t>
    </w:r>
    <w:r w:rsidRPr="001C26A3">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46B91" w14:textId="77777777" w:rsidR="007501A6" w:rsidRDefault="007501A6" w:rsidP="00536517">
      <w:pPr>
        <w:spacing w:before="0" w:after="0"/>
      </w:pPr>
      <w:r>
        <w:separator/>
      </w:r>
    </w:p>
  </w:footnote>
  <w:footnote w:type="continuationSeparator" w:id="0">
    <w:p w14:paraId="57E75342" w14:textId="77777777" w:rsidR="007501A6" w:rsidRDefault="007501A6" w:rsidP="0053651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D9CD208"/>
    <w:lvl w:ilvl="0">
      <w:start w:val="1"/>
      <w:numFmt w:val="bullet"/>
      <w:pStyle w:val="ListBullet2"/>
      <w:lvlText w:val="–"/>
      <w:lvlJc w:val="left"/>
      <w:pPr>
        <w:ind w:left="785" w:hanging="360"/>
      </w:pPr>
      <w:rPr>
        <w:rFonts w:ascii="Calibri" w:hAnsi="Calibri" w:hint="default"/>
        <w:sz w:val="22"/>
      </w:rPr>
    </w:lvl>
  </w:abstractNum>
  <w:abstractNum w:abstractNumId="1" w15:restartNumberingAfterBreak="0">
    <w:nsid w:val="0AFD3575"/>
    <w:multiLevelType w:val="multilevel"/>
    <w:tmpl w:val="9B1E35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09A174A"/>
    <w:multiLevelType w:val="hybridMultilevel"/>
    <w:tmpl w:val="54D60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43747"/>
    <w:multiLevelType w:val="hybridMultilevel"/>
    <w:tmpl w:val="BA5CD7E6"/>
    <w:lvl w:ilvl="0" w:tplc="458C9B24">
      <w:start w:val="1"/>
      <w:numFmt w:val="decimal"/>
      <w:pStyle w:val="ListBullet2a"/>
      <w:lvlText w:val="A%1."/>
      <w:lvlJc w:val="left"/>
      <w:pPr>
        <w:ind w:left="644" w:hanging="360"/>
      </w:pPr>
      <w:rPr>
        <w:rFonts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4" w15:restartNumberingAfterBreak="0">
    <w:nsid w:val="22B65D91"/>
    <w:multiLevelType w:val="multilevel"/>
    <w:tmpl w:val="497EBA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62B7052"/>
    <w:multiLevelType w:val="hybridMultilevel"/>
    <w:tmpl w:val="A502C084"/>
    <w:lvl w:ilvl="0" w:tplc="23C6BBE6">
      <w:start w:val="1"/>
      <w:numFmt w:val="bullet"/>
      <w:pStyle w:val="List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6" w15:restartNumberingAfterBreak="0">
    <w:nsid w:val="27EF33D0"/>
    <w:multiLevelType w:val="hybridMultilevel"/>
    <w:tmpl w:val="BC2458E2"/>
    <w:lvl w:ilvl="0" w:tplc="F4E6A5CE">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99364A"/>
    <w:multiLevelType w:val="hybridMultilevel"/>
    <w:tmpl w:val="F3C452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C3B7D"/>
    <w:multiLevelType w:val="hybridMultilevel"/>
    <w:tmpl w:val="F8CC70C8"/>
    <w:lvl w:ilvl="0" w:tplc="0974255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D942355"/>
    <w:multiLevelType w:val="hybridMultilevel"/>
    <w:tmpl w:val="641C2138"/>
    <w:lvl w:ilvl="0" w:tplc="C922AF1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7D18D8"/>
    <w:multiLevelType w:val="multilevel"/>
    <w:tmpl w:val="199E3C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5BA2A2B"/>
    <w:multiLevelType w:val="hybridMultilevel"/>
    <w:tmpl w:val="F51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54FED"/>
    <w:multiLevelType w:val="multilevel"/>
    <w:tmpl w:val="FA7AB9B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53007FC9"/>
    <w:multiLevelType w:val="hybridMultilevel"/>
    <w:tmpl w:val="25F8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A10D2"/>
    <w:multiLevelType w:val="multilevel"/>
    <w:tmpl w:val="8AF8E3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AF0661E"/>
    <w:multiLevelType w:val="multilevel"/>
    <w:tmpl w:val="6CE87C4E"/>
    <w:lvl w:ilvl="0">
      <w:start w:val="1"/>
      <w:numFmt w:val="decimal"/>
      <w:lvlText w:val="%1"/>
      <w:lvlJc w:val="left"/>
      <w:pPr>
        <w:ind w:left="644" w:hanging="360"/>
      </w:pPr>
      <w:rPr>
        <w:rFonts w:hint="default"/>
        <w:b/>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1"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61" w:hanging="504"/>
      </w:pPr>
      <w:rPr>
        <w:rFonts w:hint="default"/>
      </w:rPr>
    </w:lvl>
    <w:lvl w:ilvl="3">
      <w:start w:val="1"/>
      <w:numFmt w:val="decimal"/>
      <w:lvlText w:val="%1.%2.%3.%4."/>
      <w:lvlJc w:val="left"/>
      <w:pPr>
        <w:ind w:left="-257" w:hanging="648"/>
      </w:pPr>
      <w:rPr>
        <w:rFonts w:hint="default"/>
      </w:rPr>
    </w:lvl>
    <w:lvl w:ilvl="4">
      <w:start w:val="1"/>
      <w:numFmt w:val="decimal"/>
      <w:lvlText w:val="%1.%2.%3.%4.%5."/>
      <w:lvlJc w:val="left"/>
      <w:pPr>
        <w:ind w:left="247" w:hanging="792"/>
      </w:pPr>
      <w:rPr>
        <w:rFonts w:hint="default"/>
      </w:rPr>
    </w:lvl>
    <w:lvl w:ilvl="5">
      <w:start w:val="1"/>
      <w:numFmt w:val="decimal"/>
      <w:lvlText w:val="%1.%2.%3.%4.%5.%6."/>
      <w:lvlJc w:val="left"/>
      <w:pPr>
        <w:ind w:left="751" w:hanging="936"/>
      </w:pPr>
      <w:rPr>
        <w:rFonts w:hint="default"/>
      </w:rPr>
    </w:lvl>
    <w:lvl w:ilvl="6">
      <w:start w:val="1"/>
      <w:numFmt w:val="decimal"/>
      <w:lvlText w:val="%1.%2.%3.%4.%5.%6.%7."/>
      <w:lvlJc w:val="left"/>
      <w:pPr>
        <w:ind w:left="1255" w:hanging="1080"/>
      </w:pPr>
      <w:rPr>
        <w:rFonts w:hint="default"/>
      </w:rPr>
    </w:lvl>
    <w:lvl w:ilvl="7">
      <w:start w:val="1"/>
      <w:numFmt w:val="decimal"/>
      <w:lvlText w:val="%1.%2.%3.%4.%5.%6.%7.%8."/>
      <w:lvlJc w:val="left"/>
      <w:pPr>
        <w:ind w:left="1759" w:hanging="1224"/>
      </w:pPr>
      <w:rPr>
        <w:rFonts w:hint="default"/>
      </w:rPr>
    </w:lvl>
    <w:lvl w:ilvl="8">
      <w:start w:val="1"/>
      <w:numFmt w:val="decimal"/>
      <w:lvlText w:val="%1.%2.%3.%4.%5.%6.%7.%8.%9."/>
      <w:lvlJc w:val="left"/>
      <w:pPr>
        <w:ind w:left="2335" w:hanging="1440"/>
      </w:pPr>
      <w:rPr>
        <w:rFonts w:hint="default"/>
      </w:rPr>
    </w:lvl>
  </w:abstractNum>
  <w:abstractNum w:abstractNumId="16" w15:restartNumberingAfterBreak="0">
    <w:nsid w:val="5D152A88"/>
    <w:multiLevelType w:val="multilevel"/>
    <w:tmpl w:val="CC9AB0EA"/>
    <w:lvl w:ilvl="0">
      <w:start w:val="1"/>
      <w:numFmt w:val="decimal"/>
      <w:lvlText w:val="%1"/>
      <w:lvlJc w:val="left"/>
      <w:pPr>
        <w:ind w:left="644" w:hanging="360"/>
      </w:pPr>
      <w:rPr>
        <w:rFonts w:hint="default"/>
        <w:b/>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1"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61" w:hanging="504"/>
      </w:pPr>
      <w:rPr>
        <w:rFonts w:hint="default"/>
      </w:rPr>
    </w:lvl>
    <w:lvl w:ilvl="3">
      <w:start w:val="1"/>
      <w:numFmt w:val="decimal"/>
      <w:lvlText w:val="%1.%2.%3.%4."/>
      <w:lvlJc w:val="left"/>
      <w:pPr>
        <w:ind w:left="-257" w:hanging="648"/>
      </w:pPr>
      <w:rPr>
        <w:rFonts w:hint="default"/>
      </w:rPr>
    </w:lvl>
    <w:lvl w:ilvl="4">
      <w:start w:val="1"/>
      <w:numFmt w:val="decimal"/>
      <w:lvlText w:val="%1.%2.%3.%4.%5."/>
      <w:lvlJc w:val="left"/>
      <w:pPr>
        <w:ind w:left="247" w:hanging="792"/>
      </w:pPr>
      <w:rPr>
        <w:rFonts w:hint="default"/>
      </w:rPr>
    </w:lvl>
    <w:lvl w:ilvl="5">
      <w:start w:val="1"/>
      <w:numFmt w:val="decimal"/>
      <w:lvlText w:val="%1.%2.%3.%4.%5.%6."/>
      <w:lvlJc w:val="left"/>
      <w:pPr>
        <w:ind w:left="751" w:hanging="936"/>
      </w:pPr>
      <w:rPr>
        <w:rFonts w:hint="default"/>
      </w:rPr>
    </w:lvl>
    <w:lvl w:ilvl="6">
      <w:start w:val="1"/>
      <w:numFmt w:val="decimal"/>
      <w:lvlText w:val="%1.%2.%3.%4.%5.%6.%7."/>
      <w:lvlJc w:val="left"/>
      <w:pPr>
        <w:ind w:left="1255" w:hanging="1080"/>
      </w:pPr>
      <w:rPr>
        <w:rFonts w:hint="default"/>
      </w:rPr>
    </w:lvl>
    <w:lvl w:ilvl="7">
      <w:start w:val="1"/>
      <w:numFmt w:val="decimal"/>
      <w:lvlText w:val="%1.%2.%3.%4.%5.%6.%7.%8."/>
      <w:lvlJc w:val="left"/>
      <w:pPr>
        <w:ind w:left="1759" w:hanging="1224"/>
      </w:pPr>
      <w:rPr>
        <w:rFonts w:hint="default"/>
      </w:rPr>
    </w:lvl>
    <w:lvl w:ilvl="8">
      <w:start w:val="1"/>
      <w:numFmt w:val="decimal"/>
      <w:lvlText w:val="%1.%2.%3.%4.%5.%6.%7.%8.%9."/>
      <w:lvlJc w:val="left"/>
      <w:pPr>
        <w:ind w:left="2335" w:hanging="1440"/>
      </w:pPr>
      <w:rPr>
        <w:rFonts w:hint="default"/>
      </w:rPr>
    </w:lvl>
  </w:abstractNum>
  <w:abstractNum w:abstractNumId="17" w15:restartNumberingAfterBreak="0">
    <w:nsid w:val="6BA025DA"/>
    <w:multiLevelType w:val="hybridMultilevel"/>
    <w:tmpl w:val="9C4A4E36"/>
    <w:lvl w:ilvl="0" w:tplc="04A0E196">
      <w:start w:val="1"/>
      <w:numFmt w:val="decimal"/>
      <w:pStyle w:val="ListParagraph"/>
      <w:lvlText w:val="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CE510A"/>
    <w:multiLevelType w:val="hybridMultilevel"/>
    <w:tmpl w:val="D3F84D6C"/>
    <w:lvl w:ilvl="0" w:tplc="654A49C0">
      <w:start w:val="1"/>
      <w:numFmt w:val="decimal"/>
      <w:lvlText w:val="A%1."/>
      <w:lvlJc w:val="left"/>
      <w:pPr>
        <w:ind w:left="426"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3"/>
  </w:num>
  <w:num w:numId="2">
    <w:abstractNumId w:val="0"/>
  </w:num>
  <w:num w:numId="3">
    <w:abstractNumId w:val="18"/>
  </w:num>
  <w:num w:numId="4">
    <w:abstractNumId w:val="15"/>
  </w:num>
  <w:num w:numId="5">
    <w:abstractNumId w:val="15"/>
  </w:num>
  <w:num w:numId="6">
    <w:abstractNumId w:val="6"/>
  </w:num>
  <w:num w:numId="7">
    <w:abstractNumId w:val="0"/>
  </w:num>
  <w:num w:numId="8">
    <w:abstractNumId w:val="0"/>
  </w:num>
  <w:num w:numId="9">
    <w:abstractNumId w:val="15"/>
  </w:num>
  <w:num w:numId="10">
    <w:abstractNumId w:val="15"/>
  </w:num>
  <w:num w:numId="11">
    <w:abstractNumId w:val="6"/>
  </w:num>
  <w:num w:numId="12">
    <w:abstractNumId w:val="15"/>
  </w:num>
  <w:num w:numId="13">
    <w:abstractNumId w:val="15"/>
  </w:num>
  <w:num w:numId="14">
    <w:abstractNumId w:val="15"/>
  </w:num>
  <w:num w:numId="15">
    <w:abstractNumId w:val="6"/>
  </w:num>
  <w:num w:numId="16">
    <w:abstractNumId w:val="15"/>
  </w:num>
  <w:num w:numId="17">
    <w:abstractNumId w:val="15"/>
  </w:num>
  <w:num w:numId="18">
    <w:abstractNumId w:val="6"/>
  </w:num>
  <w:num w:numId="19">
    <w:abstractNumId w:val="15"/>
  </w:num>
  <w:num w:numId="20">
    <w:abstractNumId w:val="15"/>
  </w:num>
  <w:num w:numId="21">
    <w:abstractNumId w:val="15"/>
  </w:num>
  <w:num w:numId="22">
    <w:abstractNumId w:val="15"/>
  </w:num>
  <w:num w:numId="23">
    <w:abstractNumId w:val="15"/>
  </w:num>
  <w:num w:numId="24">
    <w:abstractNumId w:val="6"/>
  </w:num>
  <w:num w:numId="25">
    <w:abstractNumId w:val="15"/>
  </w:num>
  <w:num w:numId="26">
    <w:abstractNumId w:val="5"/>
  </w:num>
  <w:num w:numId="27">
    <w:abstractNumId w:val="18"/>
  </w:num>
  <w:num w:numId="28">
    <w:abstractNumId w:val="5"/>
  </w:num>
  <w:num w:numId="29">
    <w:abstractNumId w:val="5"/>
  </w:num>
  <w:num w:numId="30">
    <w:abstractNumId w:val="15"/>
  </w:num>
  <w:num w:numId="31">
    <w:abstractNumId w:val="15"/>
  </w:num>
  <w:num w:numId="32">
    <w:abstractNumId w:val="15"/>
  </w:num>
  <w:num w:numId="33">
    <w:abstractNumId w:val="16"/>
  </w:num>
  <w:num w:numId="34">
    <w:abstractNumId w:val="1"/>
  </w:num>
  <w:num w:numId="35">
    <w:abstractNumId w:val="4"/>
  </w:num>
  <w:num w:numId="36">
    <w:abstractNumId w:val="10"/>
  </w:num>
  <w:num w:numId="37">
    <w:abstractNumId w:val="14"/>
  </w:num>
  <w:num w:numId="38">
    <w:abstractNumId w:val="12"/>
  </w:num>
  <w:num w:numId="39">
    <w:abstractNumId w:val="18"/>
  </w:num>
  <w:num w:numId="40">
    <w:abstractNumId w:val="13"/>
  </w:num>
  <w:num w:numId="41">
    <w:abstractNumId w:val="8"/>
  </w:num>
  <w:num w:numId="42">
    <w:abstractNumId w:val="9"/>
  </w:num>
  <w:num w:numId="43">
    <w:abstractNumId w:val="7"/>
  </w:num>
  <w:num w:numId="44">
    <w:abstractNumId w:val="17"/>
  </w:num>
  <w:num w:numId="45">
    <w:abstractNumId w:val="2"/>
  </w:num>
  <w:num w:numId="46">
    <w:abstractNumId w:val="11"/>
  </w:num>
  <w:num w:numId="47">
    <w:abstractNumId w:val="17"/>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730"/>
    <w:rsid w:val="000027E3"/>
    <w:rsid w:val="00002A9D"/>
    <w:rsid w:val="00003468"/>
    <w:rsid w:val="0001457F"/>
    <w:rsid w:val="00016915"/>
    <w:rsid w:val="00016B23"/>
    <w:rsid w:val="00017132"/>
    <w:rsid w:val="00020C96"/>
    <w:rsid w:val="000218CB"/>
    <w:rsid w:val="0002260B"/>
    <w:rsid w:val="000227AE"/>
    <w:rsid w:val="000258E0"/>
    <w:rsid w:val="00025E55"/>
    <w:rsid w:val="00026A0B"/>
    <w:rsid w:val="00027519"/>
    <w:rsid w:val="000277C5"/>
    <w:rsid w:val="00027E2D"/>
    <w:rsid w:val="00030BFC"/>
    <w:rsid w:val="0003155D"/>
    <w:rsid w:val="0003185B"/>
    <w:rsid w:val="00035F06"/>
    <w:rsid w:val="000363F6"/>
    <w:rsid w:val="0003671E"/>
    <w:rsid w:val="00036733"/>
    <w:rsid w:val="0003717A"/>
    <w:rsid w:val="00037440"/>
    <w:rsid w:val="00037E7B"/>
    <w:rsid w:val="00040BC0"/>
    <w:rsid w:val="000410F6"/>
    <w:rsid w:val="00041B06"/>
    <w:rsid w:val="000429EA"/>
    <w:rsid w:val="00044D28"/>
    <w:rsid w:val="000465C8"/>
    <w:rsid w:val="00051551"/>
    <w:rsid w:val="00051BB9"/>
    <w:rsid w:val="000550F0"/>
    <w:rsid w:val="000555F7"/>
    <w:rsid w:val="00055B20"/>
    <w:rsid w:val="00062592"/>
    <w:rsid w:val="00062B1D"/>
    <w:rsid w:val="00063DBF"/>
    <w:rsid w:val="000655FB"/>
    <w:rsid w:val="00071160"/>
    <w:rsid w:val="00071713"/>
    <w:rsid w:val="000723B8"/>
    <w:rsid w:val="00072F97"/>
    <w:rsid w:val="0007509E"/>
    <w:rsid w:val="00075C84"/>
    <w:rsid w:val="00075F87"/>
    <w:rsid w:val="00077F91"/>
    <w:rsid w:val="00081D89"/>
    <w:rsid w:val="0008381E"/>
    <w:rsid w:val="0008481B"/>
    <w:rsid w:val="00084C7F"/>
    <w:rsid w:val="00084C8B"/>
    <w:rsid w:val="000869EE"/>
    <w:rsid w:val="000870D6"/>
    <w:rsid w:val="00092D37"/>
    <w:rsid w:val="0009626D"/>
    <w:rsid w:val="000976AB"/>
    <w:rsid w:val="000A1F1B"/>
    <w:rsid w:val="000A3660"/>
    <w:rsid w:val="000A38A6"/>
    <w:rsid w:val="000A3A5F"/>
    <w:rsid w:val="000A3E00"/>
    <w:rsid w:val="000A499C"/>
    <w:rsid w:val="000A562B"/>
    <w:rsid w:val="000A5EFC"/>
    <w:rsid w:val="000A7093"/>
    <w:rsid w:val="000B088A"/>
    <w:rsid w:val="000B0E2B"/>
    <w:rsid w:val="000B2CF4"/>
    <w:rsid w:val="000B3537"/>
    <w:rsid w:val="000B4327"/>
    <w:rsid w:val="000B66F3"/>
    <w:rsid w:val="000B6CD4"/>
    <w:rsid w:val="000B79A7"/>
    <w:rsid w:val="000C0EEA"/>
    <w:rsid w:val="000C4190"/>
    <w:rsid w:val="000C4B78"/>
    <w:rsid w:val="000C5133"/>
    <w:rsid w:val="000C6063"/>
    <w:rsid w:val="000D0537"/>
    <w:rsid w:val="000D373D"/>
    <w:rsid w:val="000D6D32"/>
    <w:rsid w:val="000D7B43"/>
    <w:rsid w:val="000E0F86"/>
    <w:rsid w:val="000E4660"/>
    <w:rsid w:val="000E46AD"/>
    <w:rsid w:val="000E56CA"/>
    <w:rsid w:val="000E7AFC"/>
    <w:rsid w:val="000F1641"/>
    <w:rsid w:val="000F5338"/>
    <w:rsid w:val="000F54D8"/>
    <w:rsid w:val="000F57AC"/>
    <w:rsid w:val="00100D13"/>
    <w:rsid w:val="00101CDC"/>
    <w:rsid w:val="00101DE0"/>
    <w:rsid w:val="001070ED"/>
    <w:rsid w:val="00113FB2"/>
    <w:rsid w:val="00117EDE"/>
    <w:rsid w:val="0012053B"/>
    <w:rsid w:val="00123C36"/>
    <w:rsid w:val="001247D9"/>
    <w:rsid w:val="00126B26"/>
    <w:rsid w:val="00127158"/>
    <w:rsid w:val="00127DB7"/>
    <w:rsid w:val="00130092"/>
    <w:rsid w:val="00130803"/>
    <w:rsid w:val="00135796"/>
    <w:rsid w:val="00136BB1"/>
    <w:rsid w:val="00136D95"/>
    <w:rsid w:val="00142B47"/>
    <w:rsid w:val="001438BE"/>
    <w:rsid w:val="0014438C"/>
    <w:rsid w:val="0015043D"/>
    <w:rsid w:val="00155DA3"/>
    <w:rsid w:val="00156D76"/>
    <w:rsid w:val="00157181"/>
    <w:rsid w:val="0016041C"/>
    <w:rsid w:val="00161B3B"/>
    <w:rsid w:val="00162B6B"/>
    <w:rsid w:val="00162EBF"/>
    <w:rsid w:val="0016461F"/>
    <w:rsid w:val="00164F36"/>
    <w:rsid w:val="001672DE"/>
    <w:rsid w:val="00171F84"/>
    <w:rsid w:val="00173026"/>
    <w:rsid w:val="00175CFB"/>
    <w:rsid w:val="00176D5E"/>
    <w:rsid w:val="00181C0F"/>
    <w:rsid w:val="00182F15"/>
    <w:rsid w:val="00182F72"/>
    <w:rsid w:val="00183519"/>
    <w:rsid w:val="00184586"/>
    <w:rsid w:val="00184ECC"/>
    <w:rsid w:val="0018534F"/>
    <w:rsid w:val="00185F4A"/>
    <w:rsid w:val="00186BDA"/>
    <w:rsid w:val="001872A2"/>
    <w:rsid w:val="0019110C"/>
    <w:rsid w:val="00192464"/>
    <w:rsid w:val="00194219"/>
    <w:rsid w:val="001958CC"/>
    <w:rsid w:val="00195B57"/>
    <w:rsid w:val="00197BCA"/>
    <w:rsid w:val="001A0F0E"/>
    <w:rsid w:val="001A1EEA"/>
    <w:rsid w:val="001A6229"/>
    <w:rsid w:val="001A6B82"/>
    <w:rsid w:val="001A7336"/>
    <w:rsid w:val="001A7EEB"/>
    <w:rsid w:val="001B1EC6"/>
    <w:rsid w:val="001B2A52"/>
    <w:rsid w:val="001B3682"/>
    <w:rsid w:val="001B4E4A"/>
    <w:rsid w:val="001B5C6D"/>
    <w:rsid w:val="001C07AD"/>
    <w:rsid w:val="001C09DD"/>
    <w:rsid w:val="001C163A"/>
    <w:rsid w:val="001C1817"/>
    <w:rsid w:val="001C2108"/>
    <w:rsid w:val="001C26A3"/>
    <w:rsid w:val="001C2D4C"/>
    <w:rsid w:val="001C302A"/>
    <w:rsid w:val="001C33E4"/>
    <w:rsid w:val="001C3919"/>
    <w:rsid w:val="001C3B76"/>
    <w:rsid w:val="001C4B2A"/>
    <w:rsid w:val="001C5EB3"/>
    <w:rsid w:val="001D1CAA"/>
    <w:rsid w:val="001D31AE"/>
    <w:rsid w:val="001D5B47"/>
    <w:rsid w:val="001D5EB9"/>
    <w:rsid w:val="001E1A7C"/>
    <w:rsid w:val="001E2B0D"/>
    <w:rsid w:val="001E2E3C"/>
    <w:rsid w:val="001E34C1"/>
    <w:rsid w:val="001E4287"/>
    <w:rsid w:val="001E6EB4"/>
    <w:rsid w:val="001F1399"/>
    <w:rsid w:val="001F5D78"/>
    <w:rsid w:val="001F6061"/>
    <w:rsid w:val="001F6878"/>
    <w:rsid w:val="002029B1"/>
    <w:rsid w:val="00202AA8"/>
    <w:rsid w:val="002042A1"/>
    <w:rsid w:val="002049A6"/>
    <w:rsid w:val="002049F3"/>
    <w:rsid w:val="00206AE7"/>
    <w:rsid w:val="00207C32"/>
    <w:rsid w:val="002107D4"/>
    <w:rsid w:val="002112C1"/>
    <w:rsid w:val="00217837"/>
    <w:rsid w:val="00220594"/>
    <w:rsid w:val="0022067C"/>
    <w:rsid w:val="0022208A"/>
    <w:rsid w:val="0022271B"/>
    <w:rsid w:val="00223572"/>
    <w:rsid w:val="00230B07"/>
    <w:rsid w:val="002366E3"/>
    <w:rsid w:val="002373D4"/>
    <w:rsid w:val="00242708"/>
    <w:rsid w:val="002432FE"/>
    <w:rsid w:val="0024490E"/>
    <w:rsid w:val="00245B87"/>
    <w:rsid w:val="00247E20"/>
    <w:rsid w:val="00250DF8"/>
    <w:rsid w:val="00253493"/>
    <w:rsid w:val="00254B81"/>
    <w:rsid w:val="0026327E"/>
    <w:rsid w:val="0026685F"/>
    <w:rsid w:val="00267AAC"/>
    <w:rsid w:val="0027071B"/>
    <w:rsid w:val="00270E8A"/>
    <w:rsid w:val="0027306B"/>
    <w:rsid w:val="00273919"/>
    <w:rsid w:val="00273DFF"/>
    <w:rsid w:val="002767D0"/>
    <w:rsid w:val="002772AF"/>
    <w:rsid w:val="00277830"/>
    <w:rsid w:val="002814AF"/>
    <w:rsid w:val="00281E96"/>
    <w:rsid w:val="002822C9"/>
    <w:rsid w:val="00282A43"/>
    <w:rsid w:val="00282CC2"/>
    <w:rsid w:val="00283144"/>
    <w:rsid w:val="0028629A"/>
    <w:rsid w:val="002869BC"/>
    <w:rsid w:val="0029169A"/>
    <w:rsid w:val="00292330"/>
    <w:rsid w:val="002942EE"/>
    <w:rsid w:val="00294769"/>
    <w:rsid w:val="002A3B65"/>
    <w:rsid w:val="002A757C"/>
    <w:rsid w:val="002A789A"/>
    <w:rsid w:val="002A7A82"/>
    <w:rsid w:val="002B3475"/>
    <w:rsid w:val="002C1532"/>
    <w:rsid w:val="002C2AF9"/>
    <w:rsid w:val="002C6B7B"/>
    <w:rsid w:val="002C72C0"/>
    <w:rsid w:val="002C7EFC"/>
    <w:rsid w:val="002D0C36"/>
    <w:rsid w:val="002D6941"/>
    <w:rsid w:val="002D71E4"/>
    <w:rsid w:val="002D7911"/>
    <w:rsid w:val="002E1571"/>
    <w:rsid w:val="002E1FF1"/>
    <w:rsid w:val="002E3D8C"/>
    <w:rsid w:val="002E45F8"/>
    <w:rsid w:val="002E4894"/>
    <w:rsid w:val="002E5880"/>
    <w:rsid w:val="002E5B17"/>
    <w:rsid w:val="002E727E"/>
    <w:rsid w:val="002E7F24"/>
    <w:rsid w:val="002F10D0"/>
    <w:rsid w:val="002F1DB8"/>
    <w:rsid w:val="002F279E"/>
    <w:rsid w:val="002F2A5D"/>
    <w:rsid w:val="002F41DD"/>
    <w:rsid w:val="002F75EA"/>
    <w:rsid w:val="003013F0"/>
    <w:rsid w:val="00301E6C"/>
    <w:rsid w:val="00302B1A"/>
    <w:rsid w:val="0030327D"/>
    <w:rsid w:val="003049DF"/>
    <w:rsid w:val="00310968"/>
    <w:rsid w:val="00311807"/>
    <w:rsid w:val="00311B04"/>
    <w:rsid w:val="00312934"/>
    <w:rsid w:val="00313920"/>
    <w:rsid w:val="003143D7"/>
    <w:rsid w:val="00314404"/>
    <w:rsid w:val="0031684F"/>
    <w:rsid w:val="0031775A"/>
    <w:rsid w:val="00320884"/>
    <w:rsid w:val="00321256"/>
    <w:rsid w:val="0032248C"/>
    <w:rsid w:val="00324661"/>
    <w:rsid w:val="0032620E"/>
    <w:rsid w:val="00327A5C"/>
    <w:rsid w:val="003315A0"/>
    <w:rsid w:val="003363C7"/>
    <w:rsid w:val="00336410"/>
    <w:rsid w:val="00340CA6"/>
    <w:rsid w:val="00341953"/>
    <w:rsid w:val="00347CAD"/>
    <w:rsid w:val="003506A1"/>
    <w:rsid w:val="00354F59"/>
    <w:rsid w:val="0035595D"/>
    <w:rsid w:val="00356397"/>
    <w:rsid w:val="003604E0"/>
    <w:rsid w:val="00361695"/>
    <w:rsid w:val="00362289"/>
    <w:rsid w:val="00362AEA"/>
    <w:rsid w:val="0036529E"/>
    <w:rsid w:val="0037296E"/>
    <w:rsid w:val="00373E85"/>
    <w:rsid w:val="00375365"/>
    <w:rsid w:val="00375C94"/>
    <w:rsid w:val="00376D7F"/>
    <w:rsid w:val="00380444"/>
    <w:rsid w:val="00381164"/>
    <w:rsid w:val="00382AEE"/>
    <w:rsid w:val="00384508"/>
    <w:rsid w:val="00385D87"/>
    <w:rsid w:val="00385EB5"/>
    <w:rsid w:val="003865AD"/>
    <w:rsid w:val="00386B61"/>
    <w:rsid w:val="003939F6"/>
    <w:rsid w:val="003940D8"/>
    <w:rsid w:val="00394F54"/>
    <w:rsid w:val="003A03E9"/>
    <w:rsid w:val="003A359B"/>
    <w:rsid w:val="003A5C69"/>
    <w:rsid w:val="003B167E"/>
    <w:rsid w:val="003B2730"/>
    <w:rsid w:val="003B411C"/>
    <w:rsid w:val="003B581F"/>
    <w:rsid w:val="003C0609"/>
    <w:rsid w:val="003C16BA"/>
    <w:rsid w:val="003C22CC"/>
    <w:rsid w:val="003C2D8E"/>
    <w:rsid w:val="003C70F9"/>
    <w:rsid w:val="003D3C6A"/>
    <w:rsid w:val="003D5385"/>
    <w:rsid w:val="003D7879"/>
    <w:rsid w:val="003D7D76"/>
    <w:rsid w:val="003E0963"/>
    <w:rsid w:val="003E3982"/>
    <w:rsid w:val="003E48B9"/>
    <w:rsid w:val="003E53B9"/>
    <w:rsid w:val="003E58A2"/>
    <w:rsid w:val="003F5AEE"/>
    <w:rsid w:val="003F6315"/>
    <w:rsid w:val="0040111E"/>
    <w:rsid w:val="0040189B"/>
    <w:rsid w:val="00404A66"/>
    <w:rsid w:val="00405D46"/>
    <w:rsid w:val="00406DFC"/>
    <w:rsid w:val="00406F31"/>
    <w:rsid w:val="00413CA0"/>
    <w:rsid w:val="00415A01"/>
    <w:rsid w:val="004163B5"/>
    <w:rsid w:val="00420113"/>
    <w:rsid w:val="004244EB"/>
    <w:rsid w:val="004270AF"/>
    <w:rsid w:val="00433582"/>
    <w:rsid w:val="00434556"/>
    <w:rsid w:val="0043521C"/>
    <w:rsid w:val="00435C4C"/>
    <w:rsid w:val="00437BFD"/>
    <w:rsid w:val="00442BE7"/>
    <w:rsid w:val="00443C55"/>
    <w:rsid w:val="00444497"/>
    <w:rsid w:val="00444E92"/>
    <w:rsid w:val="00445E44"/>
    <w:rsid w:val="00454B70"/>
    <w:rsid w:val="0045627F"/>
    <w:rsid w:val="00456D60"/>
    <w:rsid w:val="004619D4"/>
    <w:rsid w:val="00462CAE"/>
    <w:rsid w:val="004635F4"/>
    <w:rsid w:val="004725AE"/>
    <w:rsid w:val="00472E94"/>
    <w:rsid w:val="00473012"/>
    <w:rsid w:val="00473253"/>
    <w:rsid w:val="00474561"/>
    <w:rsid w:val="00476E5F"/>
    <w:rsid w:val="00482280"/>
    <w:rsid w:val="004840CE"/>
    <w:rsid w:val="00484D59"/>
    <w:rsid w:val="00485BCF"/>
    <w:rsid w:val="004869C1"/>
    <w:rsid w:val="00487298"/>
    <w:rsid w:val="0049019B"/>
    <w:rsid w:val="00490B62"/>
    <w:rsid w:val="00490DA4"/>
    <w:rsid w:val="00491158"/>
    <w:rsid w:val="00495A59"/>
    <w:rsid w:val="004965D0"/>
    <w:rsid w:val="00497244"/>
    <w:rsid w:val="004A1167"/>
    <w:rsid w:val="004A1B11"/>
    <w:rsid w:val="004A2E54"/>
    <w:rsid w:val="004A3495"/>
    <w:rsid w:val="004A4758"/>
    <w:rsid w:val="004A6D1A"/>
    <w:rsid w:val="004A6D75"/>
    <w:rsid w:val="004B1A42"/>
    <w:rsid w:val="004B21B8"/>
    <w:rsid w:val="004B373E"/>
    <w:rsid w:val="004B5021"/>
    <w:rsid w:val="004B6DC5"/>
    <w:rsid w:val="004D05CC"/>
    <w:rsid w:val="004D0925"/>
    <w:rsid w:val="004D214E"/>
    <w:rsid w:val="004D2EF2"/>
    <w:rsid w:val="004D4FD4"/>
    <w:rsid w:val="004D5B19"/>
    <w:rsid w:val="004D6B97"/>
    <w:rsid w:val="004E0D1E"/>
    <w:rsid w:val="004E2104"/>
    <w:rsid w:val="004E280F"/>
    <w:rsid w:val="004F0352"/>
    <w:rsid w:val="004F1502"/>
    <w:rsid w:val="004F1763"/>
    <w:rsid w:val="004F3828"/>
    <w:rsid w:val="004F3B6E"/>
    <w:rsid w:val="004F42A9"/>
    <w:rsid w:val="004F572B"/>
    <w:rsid w:val="004F67FB"/>
    <w:rsid w:val="00501D1A"/>
    <w:rsid w:val="00502B86"/>
    <w:rsid w:val="00506766"/>
    <w:rsid w:val="00506F8F"/>
    <w:rsid w:val="00507279"/>
    <w:rsid w:val="005074DE"/>
    <w:rsid w:val="005118A6"/>
    <w:rsid w:val="0051355F"/>
    <w:rsid w:val="00515E1F"/>
    <w:rsid w:val="00515F26"/>
    <w:rsid w:val="00516650"/>
    <w:rsid w:val="00517327"/>
    <w:rsid w:val="00517FD3"/>
    <w:rsid w:val="0052186E"/>
    <w:rsid w:val="005230CA"/>
    <w:rsid w:val="005243E2"/>
    <w:rsid w:val="00526B0C"/>
    <w:rsid w:val="00526EB3"/>
    <w:rsid w:val="00527A27"/>
    <w:rsid w:val="00531745"/>
    <w:rsid w:val="00531D7C"/>
    <w:rsid w:val="0053237C"/>
    <w:rsid w:val="005328DC"/>
    <w:rsid w:val="005328EB"/>
    <w:rsid w:val="005333DC"/>
    <w:rsid w:val="005334CB"/>
    <w:rsid w:val="00536517"/>
    <w:rsid w:val="00536854"/>
    <w:rsid w:val="00536E61"/>
    <w:rsid w:val="00537833"/>
    <w:rsid w:val="005411BB"/>
    <w:rsid w:val="00542C74"/>
    <w:rsid w:val="0054483C"/>
    <w:rsid w:val="00545571"/>
    <w:rsid w:val="005458EC"/>
    <w:rsid w:val="005539D0"/>
    <w:rsid w:val="0055544B"/>
    <w:rsid w:val="00557E06"/>
    <w:rsid w:val="00560E13"/>
    <w:rsid w:val="00562AE0"/>
    <w:rsid w:val="00564594"/>
    <w:rsid w:val="00566158"/>
    <w:rsid w:val="00566A66"/>
    <w:rsid w:val="00566EE6"/>
    <w:rsid w:val="0056732B"/>
    <w:rsid w:val="00571366"/>
    <w:rsid w:val="005735FA"/>
    <w:rsid w:val="00575AE7"/>
    <w:rsid w:val="00577ECE"/>
    <w:rsid w:val="0058183A"/>
    <w:rsid w:val="00582B47"/>
    <w:rsid w:val="00586199"/>
    <w:rsid w:val="00587136"/>
    <w:rsid w:val="00591788"/>
    <w:rsid w:val="00592320"/>
    <w:rsid w:val="005929E2"/>
    <w:rsid w:val="00593956"/>
    <w:rsid w:val="005952C4"/>
    <w:rsid w:val="0059676C"/>
    <w:rsid w:val="0059710B"/>
    <w:rsid w:val="005A16D5"/>
    <w:rsid w:val="005A21D5"/>
    <w:rsid w:val="005A24E7"/>
    <w:rsid w:val="005A719A"/>
    <w:rsid w:val="005B4948"/>
    <w:rsid w:val="005B7D13"/>
    <w:rsid w:val="005C191F"/>
    <w:rsid w:val="005C2C7E"/>
    <w:rsid w:val="005C40AF"/>
    <w:rsid w:val="005C4F9C"/>
    <w:rsid w:val="005D3D2B"/>
    <w:rsid w:val="005D76E2"/>
    <w:rsid w:val="005E263E"/>
    <w:rsid w:val="005E3CDB"/>
    <w:rsid w:val="005E3E6F"/>
    <w:rsid w:val="005E445D"/>
    <w:rsid w:val="005E5528"/>
    <w:rsid w:val="005E6707"/>
    <w:rsid w:val="005E7A66"/>
    <w:rsid w:val="005F0304"/>
    <w:rsid w:val="005F1906"/>
    <w:rsid w:val="005F1EC6"/>
    <w:rsid w:val="005F2982"/>
    <w:rsid w:val="005F5D40"/>
    <w:rsid w:val="006009A2"/>
    <w:rsid w:val="0060145E"/>
    <w:rsid w:val="00601956"/>
    <w:rsid w:val="00604917"/>
    <w:rsid w:val="0060571E"/>
    <w:rsid w:val="00606C50"/>
    <w:rsid w:val="00607763"/>
    <w:rsid w:val="00611E29"/>
    <w:rsid w:val="0061229E"/>
    <w:rsid w:val="006123FE"/>
    <w:rsid w:val="00612EE9"/>
    <w:rsid w:val="0061323F"/>
    <w:rsid w:val="00613ACF"/>
    <w:rsid w:val="00614258"/>
    <w:rsid w:val="00614ACD"/>
    <w:rsid w:val="0061684F"/>
    <w:rsid w:val="00616AEE"/>
    <w:rsid w:val="00617E7C"/>
    <w:rsid w:val="00617ED6"/>
    <w:rsid w:val="006216DF"/>
    <w:rsid w:val="00623495"/>
    <w:rsid w:val="00624C18"/>
    <w:rsid w:val="006318C5"/>
    <w:rsid w:val="00634CF9"/>
    <w:rsid w:val="00635D1D"/>
    <w:rsid w:val="006361DA"/>
    <w:rsid w:val="006444E9"/>
    <w:rsid w:val="00646656"/>
    <w:rsid w:val="006478D1"/>
    <w:rsid w:val="00652395"/>
    <w:rsid w:val="00652399"/>
    <w:rsid w:val="00653ABA"/>
    <w:rsid w:val="00653BD7"/>
    <w:rsid w:val="00653C71"/>
    <w:rsid w:val="00657B3E"/>
    <w:rsid w:val="00660552"/>
    <w:rsid w:val="00662C4E"/>
    <w:rsid w:val="00665174"/>
    <w:rsid w:val="0066672E"/>
    <w:rsid w:val="0067018B"/>
    <w:rsid w:val="00672637"/>
    <w:rsid w:val="00675310"/>
    <w:rsid w:val="006813DD"/>
    <w:rsid w:val="0068222A"/>
    <w:rsid w:val="00683C5F"/>
    <w:rsid w:val="00685762"/>
    <w:rsid w:val="00686DA7"/>
    <w:rsid w:val="00694560"/>
    <w:rsid w:val="00695666"/>
    <w:rsid w:val="006A098D"/>
    <w:rsid w:val="006A0B9D"/>
    <w:rsid w:val="006A1994"/>
    <w:rsid w:val="006A21CF"/>
    <w:rsid w:val="006A6F7C"/>
    <w:rsid w:val="006A7400"/>
    <w:rsid w:val="006A7817"/>
    <w:rsid w:val="006B2DD0"/>
    <w:rsid w:val="006B354E"/>
    <w:rsid w:val="006B4923"/>
    <w:rsid w:val="006B5504"/>
    <w:rsid w:val="006B70A6"/>
    <w:rsid w:val="006B7309"/>
    <w:rsid w:val="006C1BD4"/>
    <w:rsid w:val="006C307C"/>
    <w:rsid w:val="006C4EB6"/>
    <w:rsid w:val="006C5FD3"/>
    <w:rsid w:val="006D0200"/>
    <w:rsid w:val="006D0B07"/>
    <w:rsid w:val="006D10AE"/>
    <w:rsid w:val="006D1962"/>
    <w:rsid w:val="006D2E3D"/>
    <w:rsid w:val="006D5E97"/>
    <w:rsid w:val="006D670C"/>
    <w:rsid w:val="006D6D46"/>
    <w:rsid w:val="006E023D"/>
    <w:rsid w:val="006E1004"/>
    <w:rsid w:val="006E198E"/>
    <w:rsid w:val="006E578C"/>
    <w:rsid w:val="006E5B14"/>
    <w:rsid w:val="006E5BB8"/>
    <w:rsid w:val="006F1F1A"/>
    <w:rsid w:val="006F2C8B"/>
    <w:rsid w:val="006F2DCF"/>
    <w:rsid w:val="006F34A0"/>
    <w:rsid w:val="00700B62"/>
    <w:rsid w:val="00700E9B"/>
    <w:rsid w:val="0070309E"/>
    <w:rsid w:val="00704644"/>
    <w:rsid w:val="00705E6C"/>
    <w:rsid w:val="00706A89"/>
    <w:rsid w:val="007070A4"/>
    <w:rsid w:val="00713446"/>
    <w:rsid w:val="007137F5"/>
    <w:rsid w:val="00716430"/>
    <w:rsid w:val="00724927"/>
    <w:rsid w:val="0072548C"/>
    <w:rsid w:val="00726DA7"/>
    <w:rsid w:val="00727B8B"/>
    <w:rsid w:val="007310B2"/>
    <w:rsid w:val="007316A9"/>
    <w:rsid w:val="00731E7E"/>
    <w:rsid w:val="00733C07"/>
    <w:rsid w:val="00733F0E"/>
    <w:rsid w:val="00735C3B"/>
    <w:rsid w:val="00737C41"/>
    <w:rsid w:val="00740AAF"/>
    <w:rsid w:val="00742723"/>
    <w:rsid w:val="00746043"/>
    <w:rsid w:val="007467A1"/>
    <w:rsid w:val="0074781E"/>
    <w:rsid w:val="007501A6"/>
    <w:rsid w:val="00750823"/>
    <w:rsid w:val="0075240D"/>
    <w:rsid w:val="007527E0"/>
    <w:rsid w:val="00752D50"/>
    <w:rsid w:val="007547CD"/>
    <w:rsid w:val="00756A93"/>
    <w:rsid w:val="00760E32"/>
    <w:rsid w:val="007620AD"/>
    <w:rsid w:val="00765D9F"/>
    <w:rsid w:val="00766D2E"/>
    <w:rsid w:val="00767099"/>
    <w:rsid w:val="00770AF8"/>
    <w:rsid w:val="00771054"/>
    <w:rsid w:val="007744AB"/>
    <w:rsid w:val="00775C90"/>
    <w:rsid w:val="0077606D"/>
    <w:rsid w:val="00776D3F"/>
    <w:rsid w:val="00782379"/>
    <w:rsid w:val="0078593C"/>
    <w:rsid w:val="00785B2C"/>
    <w:rsid w:val="0078730D"/>
    <w:rsid w:val="0079018A"/>
    <w:rsid w:val="00792142"/>
    <w:rsid w:val="00793048"/>
    <w:rsid w:val="00796C4A"/>
    <w:rsid w:val="007A00B4"/>
    <w:rsid w:val="007A0373"/>
    <w:rsid w:val="007A3A59"/>
    <w:rsid w:val="007A49BA"/>
    <w:rsid w:val="007A4A44"/>
    <w:rsid w:val="007B0223"/>
    <w:rsid w:val="007B164C"/>
    <w:rsid w:val="007B1C32"/>
    <w:rsid w:val="007B200B"/>
    <w:rsid w:val="007B2CB7"/>
    <w:rsid w:val="007B3892"/>
    <w:rsid w:val="007B45F2"/>
    <w:rsid w:val="007B4983"/>
    <w:rsid w:val="007B4C47"/>
    <w:rsid w:val="007B5346"/>
    <w:rsid w:val="007B789B"/>
    <w:rsid w:val="007C0BF1"/>
    <w:rsid w:val="007C2350"/>
    <w:rsid w:val="007C522E"/>
    <w:rsid w:val="007C6779"/>
    <w:rsid w:val="007D1158"/>
    <w:rsid w:val="007D24B8"/>
    <w:rsid w:val="007D2E28"/>
    <w:rsid w:val="007D3F6B"/>
    <w:rsid w:val="007D59AA"/>
    <w:rsid w:val="007E3327"/>
    <w:rsid w:val="007E3B4E"/>
    <w:rsid w:val="007E6B85"/>
    <w:rsid w:val="007F0092"/>
    <w:rsid w:val="007F0765"/>
    <w:rsid w:val="007F23D3"/>
    <w:rsid w:val="007F46F4"/>
    <w:rsid w:val="007F64F6"/>
    <w:rsid w:val="007F775B"/>
    <w:rsid w:val="008007A4"/>
    <w:rsid w:val="008022FC"/>
    <w:rsid w:val="008026B8"/>
    <w:rsid w:val="008026DF"/>
    <w:rsid w:val="00802C7C"/>
    <w:rsid w:val="00803568"/>
    <w:rsid w:val="0080416C"/>
    <w:rsid w:val="00812CA6"/>
    <w:rsid w:val="00812E02"/>
    <w:rsid w:val="0081402D"/>
    <w:rsid w:val="00815408"/>
    <w:rsid w:val="00815BFF"/>
    <w:rsid w:val="0081751E"/>
    <w:rsid w:val="00820D6D"/>
    <w:rsid w:val="00821B82"/>
    <w:rsid w:val="008264B6"/>
    <w:rsid w:val="00831742"/>
    <w:rsid w:val="00831D1C"/>
    <w:rsid w:val="00831FDD"/>
    <w:rsid w:val="008323AF"/>
    <w:rsid w:val="0083735A"/>
    <w:rsid w:val="00837395"/>
    <w:rsid w:val="00841758"/>
    <w:rsid w:val="00841FB0"/>
    <w:rsid w:val="00843D11"/>
    <w:rsid w:val="00845EB1"/>
    <w:rsid w:val="00846FFD"/>
    <w:rsid w:val="00853754"/>
    <w:rsid w:val="00854BEF"/>
    <w:rsid w:val="0085577D"/>
    <w:rsid w:val="00857811"/>
    <w:rsid w:val="00857B85"/>
    <w:rsid w:val="00861622"/>
    <w:rsid w:val="008616B8"/>
    <w:rsid w:val="00861DFB"/>
    <w:rsid w:val="008629F6"/>
    <w:rsid w:val="00863222"/>
    <w:rsid w:val="00865E0B"/>
    <w:rsid w:val="0087191D"/>
    <w:rsid w:val="00874274"/>
    <w:rsid w:val="00874E44"/>
    <w:rsid w:val="008770A3"/>
    <w:rsid w:val="00880A07"/>
    <w:rsid w:val="00882D8F"/>
    <w:rsid w:val="00882DA7"/>
    <w:rsid w:val="008871D2"/>
    <w:rsid w:val="00887F8B"/>
    <w:rsid w:val="0089117E"/>
    <w:rsid w:val="00891BAA"/>
    <w:rsid w:val="00891BBE"/>
    <w:rsid w:val="0089249C"/>
    <w:rsid w:val="008932C5"/>
    <w:rsid w:val="00893744"/>
    <w:rsid w:val="00894730"/>
    <w:rsid w:val="00894D4E"/>
    <w:rsid w:val="008A1176"/>
    <w:rsid w:val="008A17BC"/>
    <w:rsid w:val="008A20C0"/>
    <w:rsid w:val="008A2E0B"/>
    <w:rsid w:val="008A2FA0"/>
    <w:rsid w:val="008A2FFF"/>
    <w:rsid w:val="008A4341"/>
    <w:rsid w:val="008A4C7D"/>
    <w:rsid w:val="008A6193"/>
    <w:rsid w:val="008B1804"/>
    <w:rsid w:val="008B1D6B"/>
    <w:rsid w:val="008B2321"/>
    <w:rsid w:val="008B2C4D"/>
    <w:rsid w:val="008B3AB8"/>
    <w:rsid w:val="008B430E"/>
    <w:rsid w:val="008B6D48"/>
    <w:rsid w:val="008B7034"/>
    <w:rsid w:val="008B7D68"/>
    <w:rsid w:val="008C3853"/>
    <w:rsid w:val="008C396F"/>
    <w:rsid w:val="008C5F7A"/>
    <w:rsid w:val="008C6B4E"/>
    <w:rsid w:val="008C74B3"/>
    <w:rsid w:val="008D107C"/>
    <w:rsid w:val="008D2550"/>
    <w:rsid w:val="008D530C"/>
    <w:rsid w:val="008D5AA6"/>
    <w:rsid w:val="008D79E2"/>
    <w:rsid w:val="008E06D5"/>
    <w:rsid w:val="008E070B"/>
    <w:rsid w:val="008E1AFB"/>
    <w:rsid w:val="008E47A6"/>
    <w:rsid w:val="008F1852"/>
    <w:rsid w:val="008F2E9A"/>
    <w:rsid w:val="008F3033"/>
    <w:rsid w:val="008F4D67"/>
    <w:rsid w:val="008F4E12"/>
    <w:rsid w:val="008F66F5"/>
    <w:rsid w:val="008F6708"/>
    <w:rsid w:val="00900668"/>
    <w:rsid w:val="00902CB4"/>
    <w:rsid w:val="009069F1"/>
    <w:rsid w:val="00906DC9"/>
    <w:rsid w:val="009110A5"/>
    <w:rsid w:val="00912C91"/>
    <w:rsid w:val="00913C6F"/>
    <w:rsid w:val="009161C5"/>
    <w:rsid w:val="009167D9"/>
    <w:rsid w:val="00917B3C"/>
    <w:rsid w:val="009201A7"/>
    <w:rsid w:val="00924691"/>
    <w:rsid w:val="00924F3B"/>
    <w:rsid w:val="00925841"/>
    <w:rsid w:val="00927FBD"/>
    <w:rsid w:val="00930B75"/>
    <w:rsid w:val="00931EB9"/>
    <w:rsid w:val="00931F95"/>
    <w:rsid w:val="009333CD"/>
    <w:rsid w:val="00934518"/>
    <w:rsid w:val="009358C4"/>
    <w:rsid w:val="00935A3D"/>
    <w:rsid w:val="009424C4"/>
    <w:rsid w:val="00944917"/>
    <w:rsid w:val="00945853"/>
    <w:rsid w:val="009472CD"/>
    <w:rsid w:val="0094779A"/>
    <w:rsid w:val="0095194A"/>
    <w:rsid w:val="00953D5E"/>
    <w:rsid w:val="009559E3"/>
    <w:rsid w:val="00960EA2"/>
    <w:rsid w:val="00961D2E"/>
    <w:rsid w:val="009620AA"/>
    <w:rsid w:val="0096355C"/>
    <w:rsid w:val="00965C9A"/>
    <w:rsid w:val="00971880"/>
    <w:rsid w:val="00973466"/>
    <w:rsid w:val="00973FB2"/>
    <w:rsid w:val="00974652"/>
    <w:rsid w:val="0097613D"/>
    <w:rsid w:val="0098264F"/>
    <w:rsid w:val="00983135"/>
    <w:rsid w:val="00986882"/>
    <w:rsid w:val="00986C1F"/>
    <w:rsid w:val="00987A88"/>
    <w:rsid w:val="00987C99"/>
    <w:rsid w:val="00990B0F"/>
    <w:rsid w:val="00990C90"/>
    <w:rsid w:val="00993330"/>
    <w:rsid w:val="00995277"/>
    <w:rsid w:val="00996B06"/>
    <w:rsid w:val="009970E5"/>
    <w:rsid w:val="009A23A6"/>
    <w:rsid w:val="009A2F46"/>
    <w:rsid w:val="009A48B2"/>
    <w:rsid w:val="009A59E5"/>
    <w:rsid w:val="009B0535"/>
    <w:rsid w:val="009B1EDB"/>
    <w:rsid w:val="009B2594"/>
    <w:rsid w:val="009B3352"/>
    <w:rsid w:val="009B423F"/>
    <w:rsid w:val="009B536C"/>
    <w:rsid w:val="009B612E"/>
    <w:rsid w:val="009B743E"/>
    <w:rsid w:val="009C0C05"/>
    <w:rsid w:val="009C0F5B"/>
    <w:rsid w:val="009C1C38"/>
    <w:rsid w:val="009C2A2C"/>
    <w:rsid w:val="009C648C"/>
    <w:rsid w:val="009D0466"/>
    <w:rsid w:val="009D12D7"/>
    <w:rsid w:val="009D1385"/>
    <w:rsid w:val="009D3654"/>
    <w:rsid w:val="009D3E96"/>
    <w:rsid w:val="009D56A2"/>
    <w:rsid w:val="009D7822"/>
    <w:rsid w:val="009E049A"/>
    <w:rsid w:val="009E0958"/>
    <w:rsid w:val="009E0987"/>
    <w:rsid w:val="009E1490"/>
    <w:rsid w:val="009E475B"/>
    <w:rsid w:val="009E4A62"/>
    <w:rsid w:val="009E5D1F"/>
    <w:rsid w:val="009E6680"/>
    <w:rsid w:val="009E6710"/>
    <w:rsid w:val="009F0131"/>
    <w:rsid w:val="009F1091"/>
    <w:rsid w:val="009F3280"/>
    <w:rsid w:val="009F3C07"/>
    <w:rsid w:val="00A01680"/>
    <w:rsid w:val="00A03F22"/>
    <w:rsid w:val="00A04BFF"/>
    <w:rsid w:val="00A04F79"/>
    <w:rsid w:val="00A0529F"/>
    <w:rsid w:val="00A06E46"/>
    <w:rsid w:val="00A100C2"/>
    <w:rsid w:val="00A1136E"/>
    <w:rsid w:val="00A173FA"/>
    <w:rsid w:val="00A17544"/>
    <w:rsid w:val="00A17BB1"/>
    <w:rsid w:val="00A210FA"/>
    <w:rsid w:val="00A246F3"/>
    <w:rsid w:val="00A24DD6"/>
    <w:rsid w:val="00A331D4"/>
    <w:rsid w:val="00A334B7"/>
    <w:rsid w:val="00A3510B"/>
    <w:rsid w:val="00A354A1"/>
    <w:rsid w:val="00A36204"/>
    <w:rsid w:val="00A3670B"/>
    <w:rsid w:val="00A40491"/>
    <w:rsid w:val="00A406F4"/>
    <w:rsid w:val="00A40C69"/>
    <w:rsid w:val="00A41C65"/>
    <w:rsid w:val="00A421D6"/>
    <w:rsid w:val="00A468F0"/>
    <w:rsid w:val="00A46944"/>
    <w:rsid w:val="00A52B48"/>
    <w:rsid w:val="00A54043"/>
    <w:rsid w:val="00A54EAE"/>
    <w:rsid w:val="00A55FED"/>
    <w:rsid w:val="00A56BD1"/>
    <w:rsid w:val="00A56FD1"/>
    <w:rsid w:val="00A6567F"/>
    <w:rsid w:val="00A65C7F"/>
    <w:rsid w:val="00A701F3"/>
    <w:rsid w:val="00A70C0F"/>
    <w:rsid w:val="00A71152"/>
    <w:rsid w:val="00A716B9"/>
    <w:rsid w:val="00A71C63"/>
    <w:rsid w:val="00A726FA"/>
    <w:rsid w:val="00A73A36"/>
    <w:rsid w:val="00A73CC7"/>
    <w:rsid w:val="00A73F85"/>
    <w:rsid w:val="00A74039"/>
    <w:rsid w:val="00A770C7"/>
    <w:rsid w:val="00A800CA"/>
    <w:rsid w:val="00A8156A"/>
    <w:rsid w:val="00A85D75"/>
    <w:rsid w:val="00A862B3"/>
    <w:rsid w:val="00A86B6E"/>
    <w:rsid w:val="00A932FB"/>
    <w:rsid w:val="00A93E7A"/>
    <w:rsid w:val="00A94C3A"/>
    <w:rsid w:val="00A9513F"/>
    <w:rsid w:val="00A95A4F"/>
    <w:rsid w:val="00A9738E"/>
    <w:rsid w:val="00AA083E"/>
    <w:rsid w:val="00AA0870"/>
    <w:rsid w:val="00AA0F2A"/>
    <w:rsid w:val="00AA138D"/>
    <w:rsid w:val="00AA299B"/>
    <w:rsid w:val="00AA2CAE"/>
    <w:rsid w:val="00AA3747"/>
    <w:rsid w:val="00AA47DA"/>
    <w:rsid w:val="00AA6612"/>
    <w:rsid w:val="00AB4C8D"/>
    <w:rsid w:val="00AB7B22"/>
    <w:rsid w:val="00AC14BB"/>
    <w:rsid w:val="00AC1B58"/>
    <w:rsid w:val="00AC34AC"/>
    <w:rsid w:val="00AC4CCE"/>
    <w:rsid w:val="00AD258B"/>
    <w:rsid w:val="00AD4347"/>
    <w:rsid w:val="00AD717B"/>
    <w:rsid w:val="00AD72E1"/>
    <w:rsid w:val="00AD7D72"/>
    <w:rsid w:val="00AD7E87"/>
    <w:rsid w:val="00AE7C66"/>
    <w:rsid w:val="00AF251E"/>
    <w:rsid w:val="00AF492E"/>
    <w:rsid w:val="00AF50BB"/>
    <w:rsid w:val="00AF6A0A"/>
    <w:rsid w:val="00AF788F"/>
    <w:rsid w:val="00B02FAD"/>
    <w:rsid w:val="00B0608D"/>
    <w:rsid w:val="00B062BC"/>
    <w:rsid w:val="00B06740"/>
    <w:rsid w:val="00B13F5D"/>
    <w:rsid w:val="00B14ABB"/>
    <w:rsid w:val="00B153AA"/>
    <w:rsid w:val="00B206BC"/>
    <w:rsid w:val="00B220CB"/>
    <w:rsid w:val="00B22BC2"/>
    <w:rsid w:val="00B23B16"/>
    <w:rsid w:val="00B246DD"/>
    <w:rsid w:val="00B26DF2"/>
    <w:rsid w:val="00B27722"/>
    <w:rsid w:val="00B27E3B"/>
    <w:rsid w:val="00B30D15"/>
    <w:rsid w:val="00B319D7"/>
    <w:rsid w:val="00B32B77"/>
    <w:rsid w:val="00B332D1"/>
    <w:rsid w:val="00B33D76"/>
    <w:rsid w:val="00B34CF1"/>
    <w:rsid w:val="00B34F96"/>
    <w:rsid w:val="00B35627"/>
    <w:rsid w:val="00B359C9"/>
    <w:rsid w:val="00B35BF4"/>
    <w:rsid w:val="00B40A5C"/>
    <w:rsid w:val="00B41820"/>
    <w:rsid w:val="00B43C97"/>
    <w:rsid w:val="00B44950"/>
    <w:rsid w:val="00B47215"/>
    <w:rsid w:val="00B47602"/>
    <w:rsid w:val="00B5049C"/>
    <w:rsid w:val="00B5179D"/>
    <w:rsid w:val="00B519CC"/>
    <w:rsid w:val="00B5391B"/>
    <w:rsid w:val="00B542D6"/>
    <w:rsid w:val="00B54334"/>
    <w:rsid w:val="00B55038"/>
    <w:rsid w:val="00B56D72"/>
    <w:rsid w:val="00B63526"/>
    <w:rsid w:val="00B65829"/>
    <w:rsid w:val="00B661BA"/>
    <w:rsid w:val="00B663D6"/>
    <w:rsid w:val="00B66702"/>
    <w:rsid w:val="00B66A24"/>
    <w:rsid w:val="00B66F70"/>
    <w:rsid w:val="00B7315E"/>
    <w:rsid w:val="00B732AB"/>
    <w:rsid w:val="00B7354D"/>
    <w:rsid w:val="00B73560"/>
    <w:rsid w:val="00B73843"/>
    <w:rsid w:val="00B73906"/>
    <w:rsid w:val="00B75E15"/>
    <w:rsid w:val="00B76620"/>
    <w:rsid w:val="00B76921"/>
    <w:rsid w:val="00B76F75"/>
    <w:rsid w:val="00B80970"/>
    <w:rsid w:val="00B80DD4"/>
    <w:rsid w:val="00B815F6"/>
    <w:rsid w:val="00B822DB"/>
    <w:rsid w:val="00B83452"/>
    <w:rsid w:val="00B85044"/>
    <w:rsid w:val="00B85865"/>
    <w:rsid w:val="00B862CD"/>
    <w:rsid w:val="00B9017E"/>
    <w:rsid w:val="00B90709"/>
    <w:rsid w:val="00B92C1F"/>
    <w:rsid w:val="00B94CF6"/>
    <w:rsid w:val="00B959DB"/>
    <w:rsid w:val="00BA326D"/>
    <w:rsid w:val="00BA5BFB"/>
    <w:rsid w:val="00BA6073"/>
    <w:rsid w:val="00BA6818"/>
    <w:rsid w:val="00BB3AFF"/>
    <w:rsid w:val="00BB4388"/>
    <w:rsid w:val="00BB5FD4"/>
    <w:rsid w:val="00BC26B1"/>
    <w:rsid w:val="00BC2A33"/>
    <w:rsid w:val="00BC3E2E"/>
    <w:rsid w:val="00BC3E8F"/>
    <w:rsid w:val="00BD0D5E"/>
    <w:rsid w:val="00BD0E79"/>
    <w:rsid w:val="00BD2B45"/>
    <w:rsid w:val="00BD3920"/>
    <w:rsid w:val="00BD3C18"/>
    <w:rsid w:val="00BD46B8"/>
    <w:rsid w:val="00BD77EC"/>
    <w:rsid w:val="00BE201F"/>
    <w:rsid w:val="00BE3AE7"/>
    <w:rsid w:val="00BE5E70"/>
    <w:rsid w:val="00BE6175"/>
    <w:rsid w:val="00BF5548"/>
    <w:rsid w:val="00BF58C4"/>
    <w:rsid w:val="00BF6539"/>
    <w:rsid w:val="00BF68BF"/>
    <w:rsid w:val="00C018CF"/>
    <w:rsid w:val="00C021BE"/>
    <w:rsid w:val="00C0237A"/>
    <w:rsid w:val="00C02ED9"/>
    <w:rsid w:val="00C041DA"/>
    <w:rsid w:val="00C0467F"/>
    <w:rsid w:val="00C05DFB"/>
    <w:rsid w:val="00C10DC1"/>
    <w:rsid w:val="00C11777"/>
    <w:rsid w:val="00C127AB"/>
    <w:rsid w:val="00C14058"/>
    <w:rsid w:val="00C1588E"/>
    <w:rsid w:val="00C1617D"/>
    <w:rsid w:val="00C17377"/>
    <w:rsid w:val="00C177B1"/>
    <w:rsid w:val="00C203E3"/>
    <w:rsid w:val="00C230C2"/>
    <w:rsid w:val="00C24635"/>
    <w:rsid w:val="00C25462"/>
    <w:rsid w:val="00C26029"/>
    <w:rsid w:val="00C26814"/>
    <w:rsid w:val="00C26A74"/>
    <w:rsid w:val="00C27C75"/>
    <w:rsid w:val="00C3128E"/>
    <w:rsid w:val="00C34817"/>
    <w:rsid w:val="00C3739E"/>
    <w:rsid w:val="00C41A09"/>
    <w:rsid w:val="00C42403"/>
    <w:rsid w:val="00C431AB"/>
    <w:rsid w:val="00C458BA"/>
    <w:rsid w:val="00C45DE2"/>
    <w:rsid w:val="00C557F6"/>
    <w:rsid w:val="00C57DE6"/>
    <w:rsid w:val="00C63848"/>
    <w:rsid w:val="00C63BA0"/>
    <w:rsid w:val="00C63F83"/>
    <w:rsid w:val="00C6424C"/>
    <w:rsid w:val="00C6590A"/>
    <w:rsid w:val="00C701BA"/>
    <w:rsid w:val="00C7056D"/>
    <w:rsid w:val="00C70AD8"/>
    <w:rsid w:val="00C70B6F"/>
    <w:rsid w:val="00C71165"/>
    <w:rsid w:val="00C7120F"/>
    <w:rsid w:val="00C71CC3"/>
    <w:rsid w:val="00C73488"/>
    <w:rsid w:val="00C75860"/>
    <w:rsid w:val="00C75BDF"/>
    <w:rsid w:val="00C76A44"/>
    <w:rsid w:val="00C76CB6"/>
    <w:rsid w:val="00C7761C"/>
    <w:rsid w:val="00C81A11"/>
    <w:rsid w:val="00C856BE"/>
    <w:rsid w:val="00C87C90"/>
    <w:rsid w:val="00C9005C"/>
    <w:rsid w:val="00C927D9"/>
    <w:rsid w:val="00C951B0"/>
    <w:rsid w:val="00CA018D"/>
    <w:rsid w:val="00CA0D1D"/>
    <w:rsid w:val="00CA2A24"/>
    <w:rsid w:val="00CA3EA6"/>
    <w:rsid w:val="00CA4452"/>
    <w:rsid w:val="00CA4CB4"/>
    <w:rsid w:val="00CA5CCF"/>
    <w:rsid w:val="00CA5F59"/>
    <w:rsid w:val="00CB03DA"/>
    <w:rsid w:val="00CB1F4B"/>
    <w:rsid w:val="00CB2C6D"/>
    <w:rsid w:val="00CB4E48"/>
    <w:rsid w:val="00CB5476"/>
    <w:rsid w:val="00CB619F"/>
    <w:rsid w:val="00CB6403"/>
    <w:rsid w:val="00CB7337"/>
    <w:rsid w:val="00CB744C"/>
    <w:rsid w:val="00CC0BF4"/>
    <w:rsid w:val="00CC24F5"/>
    <w:rsid w:val="00CC4985"/>
    <w:rsid w:val="00CC626B"/>
    <w:rsid w:val="00CC693E"/>
    <w:rsid w:val="00CC750A"/>
    <w:rsid w:val="00CC7F31"/>
    <w:rsid w:val="00CD1A60"/>
    <w:rsid w:val="00CD3083"/>
    <w:rsid w:val="00CD5736"/>
    <w:rsid w:val="00CD6E15"/>
    <w:rsid w:val="00CE1061"/>
    <w:rsid w:val="00CE1252"/>
    <w:rsid w:val="00CE1533"/>
    <w:rsid w:val="00CE3D6F"/>
    <w:rsid w:val="00CE4857"/>
    <w:rsid w:val="00CE4E13"/>
    <w:rsid w:val="00CE72D3"/>
    <w:rsid w:val="00CE77D8"/>
    <w:rsid w:val="00CF33D0"/>
    <w:rsid w:val="00CF3907"/>
    <w:rsid w:val="00CF3E04"/>
    <w:rsid w:val="00CF50F8"/>
    <w:rsid w:val="00CF79A6"/>
    <w:rsid w:val="00D00748"/>
    <w:rsid w:val="00D018D3"/>
    <w:rsid w:val="00D02EB5"/>
    <w:rsid w:val="00D0444B"/>
    <w:rsid w:val="00D06018"/>
    <w:rsid w:val="00D07711"/>
    <w:rsid w:val="00D11E82"/>
    <w:rsid w:val="00D13ED0"/>
    <w:rsid w:val="00D1583C"/>
    <w:rsid w:val="00D159E7"/>
    <w:rsid w:val="00D1630E"/>
    <w:rsid w:val="00D163F3"/>
    <w:rsid w:val="00D1706F"/>
    <w:rsid w:val="00D21334"/>
    <w:rsid w:val="00D213F6"/>
    <w:rsid w:val="00D21A2B"/>
    <w:rsid w:val="00D220B6"/>
    <w:rsid w:val="00D24ADC"/>
    <w:rsid w:val="00D24DF7"/>
    <w:rsid w:val="00D25035"/>
    <w:rsid w:val="00D30DA8"/>
    <w:rsid w:val="00D310BB"/>
    <w:rsid w:val="00D34A5A"/>
    <w:rsid w:val="00D370B1"/>
    <w:rsid w:val="00D403CE"/>
    <w:rsid w:val="00D40ED3"/>
    <w:rsid w:val="00D433A3"/>
    <w:rsid w:val="00D43620"/>
    <w:rsid w:val="00D4527A"/>
    <w:rsid w:val="00D5113A"/>
    <w:rsid w:val="00D52C6F"/>
    <w:rsid w:val="00D55CCC"/>
    <w:rsid w:val="00D579A9"/>
    <w:rsid w:val="00D60AC3"/>
    <w:rsid w:val="00D622AE"/>
    <w:rsid w:val="00D62A54"/>
    <w:rsid w:val="00D62D07"/>
    <w:rsid w:val="00D70B08"/>
    <w:rsid w:val="00D744E4"/>
    <w:rsid w:val="00D76BE2"/>
    <w:rsid w:val="00D76BEE"/>
    <w:rsid w:val="00D85584"/>
    <w:rsid w:val="00D86EF5"/>
    <w:rsid w:val="00D87537"/>
    <w:rsid w:val="00D90DA2"/>
    <w:rsid w:val="00D92200"/>
    <w:rsid w:val="00D92397"/>
    <w:rsid w:val="00D92C10"/>
    <w:rsid w:val="00D93D01"/>
    <w:rsid w:val="00DA0C1B"/>
    <w:rsid w:val="00DA13B0"/>
    <w:rsid w:val="00DA18DC"/>
    <w:rsid w:val="00DA1BF7"/>
    <w:rsid w:val="00DA25FB"/>
    <w:rsid w:val="00DB014F"/>
    <w:rsid w:val="00DC1D19"/>
    <w:rsid w:val="00DC1D5F"/>
    <w:rsid w:val="00DC3E21"/>
    <w:rsid w:val="00DC6EA5"/>
    <w:rsid w:val="00DC7F45"/>
    <w:rsid w:val="00DC7F63"/>
    <w:rsid w:val="00DD7146"/>
    <w:rsid w:val="00DD742E"/>
    <w:rsid w:val="00DD7C94"/>
    <w:rsid w:val="00DE28B2"/>
    <w:rsid w:val="00DE374E"/>
    <w:rsid w:val="00DE3EE0"/>
    <w:rsid w:val="00DE4CA2"/>
    <w:rsid w:val="00DE4EB0"/>
    <w:rsid w:val="00DE5834"/>
    <w:rsid w:val="00DE718F"/>
    <w:rsid w:val="00DF02DA"/>
    <w:rsid w:val="00DF6BF3"/>
    <w:rsid w:val="00DF6DDC"/>
    <w:rsid w:val="00DF6F9C"/>
    <w:rsid w:val="00E00A50"/>
    <w:rsid w:val="00E00D59"/>
    <w:rsid w:val="00E0258E"/>
    <w:rsid w:val="00E04C4B"/>
    <w:rsid w:val="00E05C6F"/>
    <w:rsid w:val="00E127A2"/>
    <w:rsid w:val="00E13056"/>
    <w:rsid w:val="00E14061"/>
    <w:rsid w:val="00E16438"/>
    <w:rsid w:val="00E177CA"/>
    <w:rsid w:val="00E17F62"/>
    <w:rsid w:val="00E227BF"/>
    <w:rsid w:val="00E22B75"/>
    <w:rsid w:val="00E230E7"/>
    <w:rsid w:val="00E23D28"/>
    <w:rsid w:val="00E248AD"/>
    <w:rsid w:val="00E25CD9"/>
    <w:rsid w:val="00E26A91"/>
    <w:rsid w:val="00E32F6D"/>
    <w:rsid w:val="00E34C6D"/>
    <w:rsid w:val="00E3586F"/>
    <w:rsid w:val="00E361DF"/>
    <w:rsid w:val="00E364DB"/>
    <w:rsid w:val="00E3788D"/>
    <w:rsid w:val="00E42A40"/>
    <w:rsid w:val="00E43098"/>
    <w:rsid w:val="00E4424F"/>
    <w:rsid w:val="00E443C5"/>
    <w:rsid w:val="00E456BC"/>
    <w:rsid w:val="00E50AF9"/>
    <w:rsid w:val="00E5160A"/>
    <w:rsid w:val="00E517FA"/>
    <w:rsid w:val="00E6031B"/>
    <w:rsid w:val="00E60C2E"/>
    <w:rsid w:val="00E61A84"/>
    <w:rsid w:val="00E62480"/>
    <w:rsid w:val="00E624C7"/>
    <w:rsid w:val="00E63333"/>
    <w:rsid w:val="00E636AE"/>
    <w:rsid w:val="00E65453"/>
    <w:rsid w:val="00E67853"/>
    <w:rsid w:val="00E7108F"/>
    <w:rsid w:val="00E72908"/>
    <w:rsid w:val="00E74141"/>
    <w:rsid w:val="00E74878"/>
    <w:rsid w:val="00E75CF7"/>
    <w:rsid w:val="00E94391"/>
    <w:rsid w:val="00E94395"/>
    <w:rsid w:val="00E976EF"/>
    <w:rsid w:val="00E97DED"/>
    <w:rsid w:val="00EA3D61"/>
    <w:rsid w:val="00EA3E43"/>
    <w:rsid w:val="00EA561C"/>
    <w:rsid w:val="00EB0061"/>
    <w:rsid w:val="00EB2A06"/>
    <w:rsid w:val="00EB2FD4"/>
    <w:rsid w:val="00EB385A"/>
    <w:rsid w:val="00EB4047"/>
    <w:rsid w:val="00EB47C2"/>
    <w:rsid w:val="00EB4911"/>
    <w:rsid w:val="00EB4A37"/>
    <w:rsid w:val="00EB5626"/>
    <w:rsid w:val="00EB5D01"/>
    <w:rsid w:val="00EC1B2A"/>
    <w:rsid w:val="00EC209E"/>
    <w:rsid w:val="00EC30CF"/>
    <w:rsid w:val="00EC3164"/>
    <w:rsid w:val="00EC4E5B"/>
    <w:rsid w:val="00EC64AE"/>
    <w:rsid w:val="00EC7B59"/>
    <w:rsid w:val="00ED0CF7"/>
    <w:rsid w:val="00ED25FC"/>
    <w:rsid w:val="00ED278C"/>
    <w:rsid w:val="00ED30BB"/>
    <w:rsid w:val="00ED5239"/>
    <w:rsid w:val="00ED719E"/>
    <w:rsid w:val="00ED7311"/>
    <w:rsid w:val="00ED7F1F"/>
    <w:rsid w:val="00EE04A1"/>
    <w:rsid w:val="00EE1516"/>
    <w:rsid w:val="00EE4055"/>
    <w:rsid w:val="00EE5CB4"/>
    <w:rsid w:val="00EF0D33"/>
    <w:rsid w:val="00EF1C46"/>
    <w:rsid w:val="00EF45A2"/>
    <w:rsid w:val="00EF505D"/>
    <w:rsid w:val="00EF5377"/>
    <w:rsid w:val="00EF6CBE"/>
    <w:rsid w:val="00EF781F"/>
    <w:rsid w:val="00EF7972"/>
    <w:rsid w:val="00EF7A37"/>
    <w:rsid w:val="00EF7F5F"/>
    <w:rsid w:val="00F0221A"/>
    <w:rsid w:val="00F02C7B"/>
    <w:rsid w:val="00F03E22"/>
    <w:rsid w:val="00F07E4D"/>
    <w:rsid w:val="00F100EF"/>
    <w:rsid w:val="00F1130F"/>
    <w:rsid w:val="00F114E7"/>
    <w:rsid w:val="00F11545"/>
    <w:rsid w:val="00F124D5"/>
    <w:rsid w:val="00F13671"/>
    <w:rsid w:val="00F13785"/>
    <w:rsid w:val="00F1745C"/>
    <w:rsid w:val="00F219BD"/>
    <w:rsid w:val="00F21B67"/>
    <w:rsid w:val="00F22C60"/>
    <w:rsid w:val="00F23686"/>
    <w:rsid w:val="00F23C5E"/>
    <w:rsid w:val="00F24876"/>
    <w:rsid w:val="00F24BA5"/>
    <w:rsid w:val="00F24C25"/>
    <w:rsid w:val="00F250C7"/>
    <w:rsid w:val="00F2645C"/>
    <w:rsid w:val="00F2721A"/>
    <w:rsid w:val="00F33EA8"/>
    <w:rsid w:val="00F35CD7"/>
    <w:rsid w:val="00F36096"/>
    <w:rsid w:val="00F36B80"/>
    <w:rsid w:val="00F36C3A"/>
    <w:rsid w:val="00F43739"/>
    <w:rsid w:val="00F44F15"/>
    <w:rsid w:val="00F50EF4"/>
    <w:rsid w:val="00F51DF1"/>
    <w:rsid w:val="00F5415A"/>
    <w:rsid w:val="00F55EA1"/>
    <w:rsid w:val="00F5605C"/>
    <w:rsid w:val="00F56AA2"/>
    <w:rsid w:val="00F56C17"/>
    <w:rsid w:val="00F57679"/>
    <w:rsid w:val="00F57A43"/>
    <w:rsid w:val="00F60160"/>
    <w:rsid w:val="00F6059B"/>
    <w:rsid w:val="00F60BA2"/>
    <w:rsid w:val="00F6117A"/>
    <w:rsid w:val="00F61F44"/>
    <w:rsid w:val="00F6251B"/>
    <w:rsid w:val="00F628EB"/>
    <w:rsid w:val="00F64C78"/>
    <w:rsid w:val="00F71212"/>
    <w:rsid w:val="00F7195C"/>
    <w:rsid w:val="00F72165"/>
    <w:rsid w:val="00F72383"/>
    <w:rsid w:val="00F7363E"/>
    <w:rsid w:val="00F74EF1"/>
    <w:rsid w:val="00F750B1"/>
    <w:rsid w:val="00F75AF2"/>
    <w:rsid w:val="00F7612F"/>
    <w:rsid w:val="00F802AD"/>
    <w:rsid w:val="00F81E68"/>
    <w:rsid w:val="00F8322F"/>
    <w:rsid w:val="00F83FAA"/>
    <w:rsid w:val="00F844FB"/>
    <w:rsid w:val="00F91DE6"/>
    <w:rsid w:val="00F922D6"/>
    <w:rsid w:val="00F92D5B"/>
    <w:rsid w:val="00F94623"/>
    <w:rsid w:val="00F947DC"/>
    <w:rsid w:val="00F96A37"/>
    <w:rsid w:val="00F97A86"/>
    <w:rsid w:val="00FA1319"/>
    <w:rsid w:val="00FA274F"/>
    <w:rsid w:val="00FA3988"/>
    <w:rsid w:val="00FA5199"/>
    <w:rsid w:val="00FA538F"/>
    <w:rsid w:val="00FA579E"/>
    <w:rsid w:val="00FA6C27"/>
    <w:rsid w:val="00FB0501"/>
    <w:rsid w:val="00FB0E9E"/>
    <w:rsid w:val="00FB24CF"/>
    <w:rsid w:val="00FB52F0"/>
    <w:rsid w:val="00FB78E3"/>
    <w:rsid w:val="00FC024A"/>
    <w:rsid w:val="00FC03E9"/>
    <w:rsid w:val="00FC1E28"/>
    <w:rsid w:val="00FC253B"/>
    <w:rsid w:val="00FC30C3"/>
    <w:rsid w:val="00FC32A3"/>
    <w:rsid w:val="00FC4F88"/>
    <w:rsid w:val="00FC563D"/>
    <w:rsid w:val="00FC5FC6"/>
    <w:rsid w:val="00FD0867"/>
    <w:rsid w:val="00FD1862"/>
    <w:rsid w:val="00FD2588"/>
    <w:rsid w:val="00FD59AC"/>
    <w:rsid w:val="00FD63F9"/>
    <w:rsid w:val="00FD6562"/>
    <w:rsid w:val="00FD6823"/>
    <w:rsid w:val="00FD6D45"/>
    <w:rsid w:val="00FE0AC9"/>
    <w:rsid w:val="00FE2033"/>
    <w:rsid w:val="00FE42CA"/>
    <w:rsid w:val="00FE5EF7"/>
    <w:rsid w:val="00FF27F8"/>
    <w:rsid w:val="00FF2CB6"/>
    <w:rsid w:val="00FF31E3"/>
    <w:rsid w:val="00FF44E0"/>
    <w:rsid w:val="00FF4ABB"/>
    <w:rsid w:val="00FF4BDC"/>
    <w:rsid w:val="00FF5095"/>
    <w:rsid w:val="00FF5116"/>
    <w:rsid w:val="00FF53D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9434"/>
  <w15:docId w15:val="{C58D1680-A65D-4175-9FD9-FE2F03FB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GB" w:eastAsia="en-US" w:bidi="bn-IN"/>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6BE"/>
    <w:rPr>
      <w:rFonts w:eastAsiaTheme="minorEastAsia" w:cs="Times New Roman"/>
      <w:sz w:val="24"/>
      <w:szCs w:val="24"/>
      <w:lang w:bidi="en-US"/>
    </w:rPr>
  </w:style>
  <w:style w:type="paragraph" w:styleId="Heading1">
    <w:name w:val="heading 1"/>
    <w:basedOn w:val="Normal"/>
    <w:next w:val="BodyText"/>
    <w:link w:val="Heading1Char"/>
    <w:autoRedefine/>
    <w:uiPriority w:val="9"/>
    <w:qFormat/>
    <w:rsid w:val="004A3495"/>
    <w:pPr>
      <w:keepNext/>
      <w:keepLines/>
      <w:pageBreakBefore/>
      <w:numPr>
        <w:numId w:val="38"/>
      </w:numPr>
      <w:tabs>
        <w:tab w:val="left" w:pos="567"/>
      </w:tabs>
      <w:spacing w:before="240" w:after="60"/>
      <w:ind w:left="431" w:hanging="431"/>
      <w:outlineLvl w:val="0"/>
    </w:pPr>
    <w:rPr>
      <w:rFonts w:ascii="Cambria" w:eastAsia="Times New Roman" w:hAnsi="Cambria" w:cstheme="minorBidi"/>
      <w:b/>
      <w:bCs/>
      <w:kern w:val="32"/>
      <w:sz w:val="28"/>
      <w:szCs w:val="28"/>
      <w:lang w:bidi="bn-IN"/>
    </w:rPr>
  </w:style>
  <w:style w:type="paragraph" w:styleId="Heading2">
    <w:name w:val="heading 2"/>
    <w:basedOn w:val="Heading1"/>
    <w:next w:val="BodyText"/>
    <w:link w:val="Heading2Char"/>
    <w:autoRedefine/>
    <w:uiPriority w:val="9"/>
    <w:unhideWhenUsed/>
    <w:qFormat/>
    <w:rsid w:val="004A3495"/>
    <w:pPr>
      <w:pageBreakBefore w:val="0"/>
      <w:numPr>
        <w:ilvl w:val="1"/>
      </w:numPr>
      <w:ind w:left="578" w:hanging="578"/>
      <w:outlineLvl w:val="1"/>
    </w:pPr>
    <w:rPr>
      <w:rFonts w:cs="Arial"/>
      <w:iCs/>
      <w:sz w:val="24"/>
      <w:szCs w:val="24"/>
    </w:rPr>
  </w:style>
  <w:style w:type="paragraph" w:styleId="Heading3">
    <w:name w:val="heading 3"/>
    <w:basedOn w:val="Heading2"/>
    <w:next w:val="BodyText"/>
    <w:link w:val="Heading3Char"/>
    <w:uiPriority w:val="9"/>
    <w:unhideWhenUsed/>
    <w:qFormat/>
    <w:rsid w:val="005F0304"/>
    <w:pPr>
      <w:numPr>
        <w:ilvl w:val="2"/>
      </w:numPr>
      <w:tabs>
        <w:tab w:val="clear" w:pos="567"/>
        <w:tab w:val="left" w:pos="851"/>
      </w:tabs>
      <w:outlineLvl w:val="2"/>
    </w:pPr>
    <w:rPr>
      <w:rFonts w:eastAsiaTheme="majorEastAsia" w:cstheme="minorHAnsi"/>
      <w:bCs w:val="0"/>
      <w:sz w:val="22"/>
      <w:szCs w:val="22"/>
    </w:rPr>
  </w:style>
  <w:style w:type="paragraph" w:styleId="Heading4">
    <w:name w:val="heading 4"/>
    <w:basedOn w:val="Heading3"/>
    <w:next w:val="BodyText"/>
    <w:link w:val="Heading4Char"/>
    <w:uiPriority w:val="9"/>
    <w:unhideWhenUsed/>
    <w:qFormat/>
    <w:rsid w:val="005118A6"/>
    <w:pPr>
      <w:numPr>
        <w:ilvl w:val="3"/>
      </w:numPr>
      <w:spacing w:before="200" w:after="0"/>
      <w:outlineLvl w:val="3"/>
    </w:pPr>
    <w:rPr>
      <w:rFonts w:asciiTheme="majorHAnsi" w:hAnsiTheme="majorHAnsi" w:cstheme="majorBidi"/>
      <w:b w:val="0"/>
      <w:bCs/>
      <w:iCs w:val="0"/>
      <w:color w:val="000000" w:themeColor="text1"/>
    </w:rPr>
  </w:style>
  <w:style w:type="paragraph" w:styleId="Heading5">
    <w:name w:val="heading 5"/>
    <w:basedOn w:val="Normal"/>
    <w:next w:val="Normal"/>
    <w:link w:val="Heading5Char"/>
    <w:uiPriority w:val="9"/>
    <w:semiHidden/>
    <w:unhideWhenUsed/>
    <w:qFormat/>
    <w:rsid w:val="005F0304"/>
    <w:pPr>
      <w:keepNext/>
      <w:keepLines/>
      <w:numPr>
        <w:ilvl w:val="4"/>
        <w:numId w:val="3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F0304"/>
    <w:pPr>
      <w:keepNext/>
      <w:keepLines/>
      <w:numPr>
        <w:ilvl w:val="5"/>
        <w:numId w:val="3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F0304"/>
    <w:pPr>
      <w:keepNext/>
      <w:keepLines/>
      <w:numPr>
        <w:ilvl w:val="6"/>
        <w:numId w:val="3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F0304"/>
    <w:pPr>
      <w:keepNext/>
      <w:keepLines/>
      <w:numPr>
        <w:ilvl w:val="7"/>
        <w:numId w:val="3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F0304"/>
    <w:pPr>
      <w:keepNext/>
      <w:keepLines/>
      <w:numPr>
        <w:ilvl w:val="8"/>
        <w:numId w:val="3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126B26"/>
    <w:pPr>
      <w:spacing w:before="60" w:after="60"/>
      <w:jc w:val="both"/>
    </w:pPr>
    <w:rPr>
      <w:rFonts w:eastAsiaTheme="minorHAnsi" w:cs="Vrinda"/>
      <w:sz w:val="22"/>
      <w:szCs w:val="28"/>
      <w:lang w:bidi="bn-IN"/>
    </w:rPr>
  </w:style>
  <w:style w:type="character" w:customStyle="1" w:styleId="BodyTextChar">
    <w:name w:val="Body Text Char"/>
    <w:basedOn w:val="DefaultParagraphFont"/>
    <w:link w:val="BodyText"/>
    <w:uiPriority w:val="99"/>
    <w:rsid w:val="00126B26"/>
    <w:rPr>
      <w:rFonts w:cs="Vrinda"/>
    </w:rPr>
  </w:style>
  <w:style w:type="paragraph" w:styleId="CommentText">
    <w:name w:val="annotation text"/>
    <w:basedOn w:val="Normal"/>
    <w:link w:val="CommentTextChar"/>
    <w:rsid w:val="00B959DB"/>
    <w:rPr>
      <w:rFonts w:ascii="Times New Roman" w:eastAsia="Times New Roman" w:hAnsi="Times New Roman"/>
      <w:sz w:val="20"/>
      <w:szCs w:val="20"/>
      <w:lang w:bidi="ar-SA"/>
    </w:rPr>
  </w:style>
  <w:style w:type="character" w:customStyle="1" w:styleId="CommentTextChar">
    <w:name w:val="Comment Text Char"/>
    <w:basedOn w:val="DefaultParagraphFont"/>
    <w:link w:val="CommentText"/>
    <w:rsid w:val="00B959DB"/>
    <w:rPr>
      <w:rFonts w:ascii="Times New Roman" w:eastAsia="Times New Roman" w:hAnsi="Times New Roman" w:cs="Times New Roman"/>
      <w:sz w:val="20"/>
      <w:szCs w:val="20"/>
      <w:lang w:bidi="ar-SA"/>
    </w:rPr>
  </w:style>
  <w:style w:type="paragraph" w:styleId="ListBullet">
    <w:name w:val="List Bullet"/>
    <w:basedOn w:val="Normal"/>
    <w:autoRedefine/>
    <w:uiPriority w:val="99"/>
    <w:unhideWhenUsed/>
    <w:qFormat/>
    <w:rsid w:val="00F24C25"/>
    <w:pPr>
      <w:numPr>
        <w:numId w:val="29"/>
      </w:numPr>
      <w:tabs>
        <w:tab w:val="left" w:pos="567"/>
      </w:tabs>
      <w:spacing w:before="120" w:after="120"/>
      <w:ind w:left="567"/>
    </w:pPr>
    <w:rPr>
      <w:rFonts w:ascii="Calibri" w:eastAsia="Calibri" w:hAnsi="Calibri" w:cs="Arial"/>
      <w:sz w:val="22"/>
      <w:szCs w:val="28"/>
      <w:lang w:eastAsia="en-GB" w:bidi="bn-IN"/>
    </w:rPr>
  </w:style>
  <w:style w:type="paragraph" w:customStyle="1" w:styleId="BodyTextIndex">
    <w:name w:val="Body Text Index"/>
    <w:basedOn w:val="BodyText"/>
    <w:rsid w:val="00617E7C"/>
    <w:pPr>
      <w:ind w:left="284"/>
    </w:pPr>
  </w:style>
  <w:style w:type="character" w:customStyle="1" w:styleId="Heading3Char">
    <w:name w:val="Heading 3 Char"/>
    <w:basedOn w:val="DefaultParagraphFont"/>
    <w:link w:val="Heading3"/>
    <w:uiPriority w:val="9"/>
    <w:rsid w:val="005F0304"/>
    <w:rPr>
      <w:rFonts w:ascii="Cambria" w:eastAsiaTheme="majorEastAsia" w:hAnsi="Cambria" w:cstheme="minorHAnsi"/>
      <w:b/>
      <w:iCs/>
      <w:kern w:val="32"/>
      <w:szCs w:val="22"/>
    </w:rPr>
  </w:style>
  <w:style w:type="paragraph" w:customStyle="1" w:styleId="ListBullet2a">
    <w:name w:val="List Bullet 2a"/>
    <w:basedOn w:val="ListParagraph"/>
    <w:qFormat/>
    <w:rsid w:val="003E48B9"/>
    <w:pPr>
      <w:numPr>
        <w:numId w:val="1"/>
      </w:numPr>
      <w:tabs>
        <w:tab w:val="left" w:pos="709"/>
      </w:tabs>
      <w:ind w:left="709" w:hanging="425"/>
    </w:pPr>
    <w:rPr>
      <w:rFonts w:ascii="Calibri" w:eastAsia="Calibri" w:hAnsi="Calibri"/>
      <w:szCs w:val="22"/>
      <w:lang w:eastAsia="en-GB" w:bidi="bn-IN"/>
    </w:rPr>
  </w:style>
  <w:style w:type="paragraph" w:styleId="ListParagraph">
    <w:name w:val="List Paragraph"/>
    <w:basedOn w:val="Normal"/>
    <w:uiPriority w:val="34"/>
    <w:qFormat/>
    <w:rsid w:val="00126B26"/>
    <w:pPr>
      <w:numPr>
        <w:numId w:val="44"/>
      </w:numPr>
      <w:spacing w:before="80" w:after="80" w:line="259" w:lineRule="auto"/>
      <w:ind w:left="425" w:hanging="357"/>
      <w:contextualSpacing/>
    </w:pPr>
    <w:rPr>
      <w:sz w:val="22"/>
    </w:rPr>
  </w:style>
  <w:style w:type="paragraph" w:styleId="BodyTextIndent">
    <w:name w:val="Body Text Indent"/>
    <w:basedOn w:val="BodyText"/>
    <w:link w:val="BodyTextIndentChar"/>
    <w:uiPriority w:val="99"/>
    <w:unhideWhenUsed/>
    <w:rsid w:val="00617E7C"/>
    <w:pPr>
      <w:ind w:left="284"/>
    </w:pPr>
    <w:rPr>
      <w:szCs w:val="25"/>
    </w:rPr>
  </w:style>
  <w:style w:type="character" w:customStyle="1" w:styleId="BodyTextIndentChar">
    <w:name w:val="Body Text Indent Char"/>
    <w:basedOn w:val="DefaultParagraphFont"/>
    <w:link w:val="BodyTextIndent"/>
    <w:uiPriority w:val="99"/>
    <w:rsid w:val="00617E7C"/>
    <w:rPr>
      <w:rFonts w:ascii="Calibri" w:hAnsi="Calibri" w:cs="Times New Roman"/>
      <w:sz w:val="20"/>
      <w:szCs w:val="25"/>
      <w:lang w:val="en-US" w:eastAsia="en-GB"/>
    </w:rPr>
  </w:style>
  <w:style w:type="character" w:customStyle="1" w:styleId="Heading2Char">
    <w:name w:val="Heading 2 Char"/>
    <w:basedOn w:val="DefaultParagraphFont"/>
    <w:link w:val="Heading2"/>
    <w:uiPriority w:val="9"/>
    <w:rsid w:val="004A3495"/>
    <w:rPr>
      <w:rFonts w:ascii="Cambria" w:eastAsia="Times New Roman" w:hAnsi="Cambria" w:cs="Arial"/>
      <w:b/>
      <w:bCs/>
      <w:iCs/>
      <w:kern w:val="32"/>
      <w:sz w:val="24"/>
      <w:szCs w:val="24"/>
    </w:rPr>
  </w:style>
  <w:style w:type="character" w:styleId="CommentReference">
    <w:name w:val="annotation reference"/>
    <w:basedOn w:val="DefaultParagraphFont"/>
    <w:rsid w:val="0075240D"/>
    <w:rPr>
      <w:sz w:val="16"/>
      <w:szCs w:val="16"/>
      <w:lang w:val="en-GB"/>
    </w:rPr>
  </w:style>
  <w:style w:type="paragraph" w:customStyle="1" w:styleId="Tablecell">
    <w:name w:val="Table cell"/>
    <w:basedOn w:val="Heading3"/>
    <w:rsid w:val="00B22BC2"/>
    <w:pPr>
      <w:tabs>
        <w:tab w:val="right" w:pos="1701"/>
      </w:tabs>
      <w:spacing w:before="0" w:after="0"/>
    </w:pPr>
    <w:rPr>
      <w:rFonts w:ascii="Arial" w:eastAsia="Times New Roman" w:hAnsi="Arial" w:cs="Arial"/>
      <w:b w:val="0"/>
      <w:sz w:val="16"/>
      <w:vertAlign w:val="subscript"/>
    </w:rPr>
  </w:style>
  <w:style w:type="character" w:customStyle="1" w:styleId="Heading1Char">
    <w:name w:val="Heading 1 Char"/>
    <w:basedOn w:val="DefaultParagraphFont"/>
    <w:link w:val="Heading1"/>
    <w:uiPriority w:val="9"/>
    <w:rsid w:val="004A3495"/>
    <w:rPr>
      <w:rFonts w:ascii="Cambria" w:eastAsia="Times New Roman" w:hAnsi="Cambria"/>
      <w:b/>
      <w:bCs/>
      <w:kern w:val="32"/>
      <w:sz w:val="28"/>
    </w:rPr>
  </w:style>
  <w:style w:type="paragraph" w:styleId="Subtitle">
    <w:name w:val="Subtitle"/>
    <w:basedOn w:val="Normal"/>
    <w:next w:val="Normal"/>
    <w:link w:val="SubtitleChar"/>
    <w:uiPriority w:val="11"/>
    <w:qFormat/>
    <w:rsid w:val="009A23A6"/>
    <w:pPr>
      <w:numPr>
        <w:ilvl w:val="1"/>
      </w:numPr>
      <w:ind w:left="284" w:hanging="284"/>
    </w:pPr>
    <w:rPr>
      <w:rFonts w:asciiTheme="majorHAnsi" w:eastAsiaTheme="majorEastAsia" w:hAnsiTheme="majorHAnsi" w:cstheme="majorBidi"/>
      <w:i/>
      <w:iCs/>
      <w:spacing w:val="15"/>
    </w:rPr>
  </w:style>
  <w:style w:type="character" w:customStyle="1" w:styleId="SubtitleChar">
    <w:name w:val="Subtitle Char"/>
    <w:basedOn w:val="DefaultParagraphFont"/>
    <w:link w:val="Subtitle"/>
    <w:uiPriority w:val="11"/>
    <w:rsid w:val="009A23A6"/>
    <w:rPr>
      <w:rFonts w:asciiTheme="majorHAnsi" w:eastAsiaTheme="majorEastAsia" w:hAnsiTheme="majorHAnsi" w:cstheme="majorBidi"/>
      <w:i/>
      <w:iCs/>
      <w:spacing w:val="15"/>
      <w:sz w:val="24"/>
      <w:szCs w:val="24"/>
      <w:lang w:bidi="ar-SA"/>
    </w:rPr>
  </w:style>
  <w:style w:type="paragraph" w:styleId="Title">
    <w:name w:val="Title"/>
    <w:basedOn w:val="Normal"/>
    <w:next w:val="Normal"/>
    <w:link w:val="TitleChar"/>
    <w:uiPriority w:val="10"/>
    <w:qFormat/>
    <w:rsid w:val="004F0352"/>
    <w:pPr>
      <w:spacing w:after="480"/>
      <w:contextualSpacing/>
    </w:pPr>
    <w:rPr>
      <w:rFonts w:asciiTheme="majorHAnsi" w:eastAsiaTheme="majorEastAsia" w:hAnsiTheme="majorHAnsi" w:cstheme="majorBidi"/>
      <w:spacing w:val="5"/>
      <w:kern w:val="28"/>
      <w:sz w:val="36"/>
      <w:szCs w:val="36"/>
    </w:rPr>
  </w:style>
  <w:style w:type="character" w:customStyle="1" w:styleId="TitleChar">
    <w:name w:val="Title Char"/>
    <w:basedOn w:val="DefaultParagraphFont"/>
    <w:link w:val="Title"/>
    <w:uiPriority w:val="10"/>
    <w:rsid w:val="004F0352"/>
    <w:rPr>
      <w:rFonts w:asciiTheme="majorHAnsi" w:eastAsiaTheme="majorEastAsia" w:hAnsiTheme="majorHAnsi" w:cstheme="majorBidi"/>
      <w:spacing w:val="5"/>
      <w:kern w:val="28"/>
      <w:sz w:val="36"/>
      <w:szCs w:val="36"/>
      <w:lang w:bidi="en-US"/>
    </w:rPr>
  </w:style>
  <w:style w:type="paragraph" w:customStyle="1" w:styleId="Text">
    <w:name w:val="Text"/>
    <w:basedOn w:val="Normal"/>
    <w:qFormat/>
    <w:rsid w:val="00302B1A"/>
    <w:pPr>
      <w:spacing w:before="60" w:after="60"/>
      <w:jc w:val="both"/>
    </w:pPr>
  </w:style>
  <w:style w:type="paragraph" w:customStyle="1" w:styleId="Tableleft">
    <w:name w:val="Table left"/>
    <w:basedOn w:val="Normal"/>
    <w:qFormat/>
    <w:rsid w:val="001D5B47"/>
    <w:pPr>
      <w:keepNext/>
      <w:keepLines/>
      <w:tabs>
        <w:tab w:val="right" w:pos="2948"/>
      </w:tabs>
      <w:spacing w:before="10" w:after="10"/>
    </w:pPr>
    <w:rPr>
      <w:rFonts w:ascii="Calibri" w:eastAsia="Times New Roman" w:hAnsi="Calibri"/>
      <w:sz w:val="18"/>
      <w:lang w:bidi="bn-IN"/>
    </w:rPr>
  </w:style>
  <w:style w:type="paragraph" w:customStyle="1" w:styleId="Tableheading">
    <w:name w:val="Table heading"/>
    <w:basedOn w:val="Normal"/>
    <w:qFormat/>
    <w:rsid w:val="00973466"/>
    <w:pPr>
      <w:jc w:val="center"/>
    </w:pPr>
    <w:rPr>
      <w:rFonts w:ascii="Calibri" w:eastAsia="Times New Roman" w:hAnsi="Calibri"/>
      <w:lang w:bidi="bn-IN"/>
    </w:rPr>
  </w:style>
  <w:style w:type="paragraph" w:customStyle="1" w:styleId="Tablecentre">
    <w:name w:val="Table centre"/>
    <w:basedOn w:val="Tableleft"/>
    <w:qFormat/>
    <w:rsid w:val="005F0304"/>
    <w:pPr>
      <w:jc w:val="center"/>
    </w:pPr>
  </w:style>
  <w:style w:type="paragraph" w:customStyle="1" w:styleId="Tableright">
    <w:name w:val="Table right"/>
    <w:basedOn w:val="Tableleft"/>
    <w:qFormat/>
    <w:rsid w:val="005F0304"/>
    <w:pPr>
      <w:tabs>
        <w:tab w:val="clear" w:pos="2948"/>
      </w:tabs>
      <w:jc w:val="right"/>
    </w:pPr>
  </w:style>
  <w:style w:type="paragraph" w:customStyle="1" w:styleId="Tablefootnote">
    <w:name w:val="Table footnote"/>
    <w:basedOn w:val="Normal"/>
    <w:qFormat/>
    <w:rsid w:val="00882DA7"/>
    <w:rPr>
      <w:rFonts w:ascii="Calibri" w:eastAsia="Times New Roman" w:hAnsi="Calibri"/>
      <w:sz w:val="20"/>
      <w:szCs w:val="20"/>
    </w:rPr>
  </w:style>
  <w:style w:type="paragraph" w:styleId="Header">
    <w:name w:val="header"/>
    <w:basedOn w:val="Normal"/>
    <w:link w:val="HeaderChar"/>
    <w:uiPriority w:val="99"/>
    <w:unhideWhenUsed/>
    <w:rsid w:val="00B75E15"/>
    <w:pPr>
      <w:tabs>
        <w:tab w:val="center" w:pos="4513"/>
        <w:tab w:val="right" w:pos="9026"/>
      </w:tabs>
      <w:spacing w:before="0" w:after="0"/>
      <w:jc w:val="center"/>
    </w:pPr>
    <w:rPr>
      <w:rFonts w:eastAsia="Times New Roman" w:cstheme="minorBidi"/>
      <w:sz w:val="22"/>
    </w:rPr>
  </w:style>
  <w:style w:type="character" w:customStyle="1" w:styleId="HeaderChar">
    <w:name w:val="Header Char"/>
    <w:basedOn w:val="DefaultParagraphFont"/>
    <w:link w:val="Header"/>
    <w:uiPriority w:val="99"/>
    <w:rsid w:val="00B75E15"/>
    <w:rPr>
      <w:rFonts w:eastAsia="Times New Roman"/>
      <w:szCs w:val="24"/>
      <w:lang w:eastAsia="en-US" w:bidi="en-US"/>
    </w:rPr>
  </w:style>
  <w:style w:type="paragraph" w:styleId="Footer">
    <w:name w:val="footer"/>
    <w:basedOn w:val="Normal"/>
    <w:link w:val="FooterChar"/>
    <w:uiPriority w:val="99"/>
    <w:unhideWhenUsed/>
    <w:rsid w:val="00536517"/>
    <w:pPr>
      <w:tabs>
        <w:tab w:val="center" w:pos="4513"/>
        <w:tab w:val="right" w:pos="9026"/>
      </w:tabs>
      <w:spacing w:before="0" w:after="0"/>
    </w:pPr>
  </w:style>
  <w:style w:type="character" w:customStyle="1" w:styleId="FooterChar">
    <w:name w:val="Footer Char"/>
    <w:basedOn w:val="DefaultParagraphFont"/>
    <w:link w:val="Footer"/>
    <w:uiPriority w:val="99"/>
    <w:rsid w:val="00536517"/>
    <w:rPr>
      <w:rFonts w:eastAsiaTheme="minorEastAsia" w:cs="Times New Roman"/>
      <w:sz w:val="24"/>
      <w:szCs w:val="24"/>
      <w:lang w:bidi="en-US"/>
    </w:rPr>
  </w:style>
  <w:style w:type="paragraph" w:styleId="BalloonText">
    <w:name w:val="Balloon Text"/>
    <w:basedOn w:val="Normal"/>
    <w:link w:val="BalloonTextChar"/>
    <w:uiPriority w:val="99"/>
    <w:semiHidden/>
    <w:unhideWhenUsed/>
    <w:rsid w:val="0053651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517"/>
    <w:rPr>
      <w:rFonts w:ascii="Tahoma" w:eastAsiaTheme="minorEastAsia" w:hAnsi="Tahoma" w:cs="Tahoma"/>
      <w:sz w:val="16"/>
      <w:szCs w:val="16"/>
      <w:lang w:bidi="en-US"/>
    </w:rPr>
  </w:style>
  <w:style w:type="paragraph" w:styleId="ListBullet2">
    <w:name w:val="List Bullet 2"/>
    <w:basedOn w:val="ListBullet"/>
    <w:uiPriority w:val="99"/>
    <w:unhideWhenUsed/>
    <w:rsid w:val="00270E8A"/>
    <w:pPr>
      <w:numPr>
        <w:numId w:val="8"/>
      </w:numPr>
      <w:tabs>
        <w:tab w:val="clear" w:pos="567"/>
        <w:tab w:val="left" w:pos="851"/>
      </w:tabs>
      <w:ind w:left="851" w:hanging="284"/>
      <w:contextualSpacing/>
    </w:pPr>
  </w:style>
  <w:style w:type="paragraph" w:styleId="Caption">
    <w:name w:val="caption"/>
    <w:basedOn w:val="Normal"/>
    <w:next w:val="Normal"/>
    <w:uiPriority w:val="35"/>
    <w:unhideWhenUsed/>
    <w:qFormat/>
    <w:rsid w:val="00FE2033"/>
    <w:pPr>
      <w:keepNext/>
      <w:keepLines/>
      <w:tabs>
        <w:tab w:val="left" w:pos="992"/>
      </w:tabs>
      <w:spacing w:before="120" w:after="120"/>
      <w:ind w:left="992" w:hanging="992"/>
    </w:pPr>
    <w:rPr>
      <w:rFonts w:ascii="Calibri" w:eastAsia="Times New Roman" w:hAnsi="Calibri"/>
      <w:bCs/>
      <w:sz w:val="22"/>
      <w:szCs w:val="20"/>
    </w:rPr>
  </w:style>
  <w:style w:type="paragraph" w:styleId="DocumentMap">
    <w:name w:val="Document Map"/>
    <w:basedOn w:val="Normal"/>
    <w:link w:val="DocumentMapChar"/>
    <w:uiPriority w:val="99"/>
    <w:semiHidden/>
    <w:unhideWhenUsed/>
    <w:rsid w:val="006D0B07"/>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D0B07"/>
    <w:rPr>
      <w:rFonts w:ascii="Tahoma" w:eastAsiaTheme="minorEastAsia" w:hAnsi="Tahoma" w:cs="Tahoma"/>
      <w:sz w:val="16"/>
      <w:szCs w:val="16"/>
      <w:lang w:bidi="en-US"/>
    </w:rPr>
  </w:style>
  <w:style w:type="paragraph" w:customStyle="1" w:styleId="BodyTextHanging">
    <w:name w:val="Body Text Hanging"/>
    <w:basedOn w:val="BodyText"/>
    <w:qFormat/>
    <w:rsid w:val="002E3D8C"/>
    <w:pPr>
      <w:ind w:hanging="284"/>
    </w:pPr>
  </w:style>
  <w:style w:type="character" w:customStyle="1" w:styleId="Heading4Char">
    <w:name w:val="Heading 4 Char"/>
    <w:basedOn w:val="DefaultParagraphFont"/>
    <w:link w:val="Heading4"/>
    <w:uiPriority w:val="9"/>
    <w:rsid w:val="005118A6"/>
    <w:rPr>
      <w:rFonts w:asciiTheme="majorHAnsi" w:eastAsiaTheme="majorEastAsia" w:hAnsiTheme="majorHAnsi" w:cstheme="majorBidi"/>
      <w:bCs/>
      <w:color w:val="000000" w:themeColor="text1"/>
      <w:kern w:val="32"/>
      <w:szCs w:val="22"/>
    </w:rPr>
  </w:style>
  <w:style w:type="character" w:customStyle="1" w:styleId="Heading5Char">
    <w:name w:val="Heading 5 Char"/>
    <w:basedOn w:val="DefaultParagraphFont"/>
    <w:link w:val="Heading5"/>
    <w:uiPriority w:val="9"/>
    <w:semiHidden/>
    <w:rsid w:val="005F0304"/>
    <w:rPr>
      <w:rFonts w:asciiTheme="majorHAnsi" w:eastAsiaTheme="majorEastAsia" w:hAnsiTheme="majorHAnsi" w:cstheme="majorBidi"/>
      <w:color w:val="243F60" w:themeColor="accent1" w:themeShade="7F"/>
      <w:sz w:val="24"/>
      <w:szCs w:val="24"/>
      <w:lang w:bidi="en-US"/>
    </w:rPr>
  </w:style>
  <w:style w:type="character" w:customStyle="1" w:styleId="Heading6Char">
    <w:name w:val="Heading 6 Char"/>
    <w:basedOn w:val="DefaultParagraphFont"/>
    <w:link w:val="Heading6"/>
    <w:uiPriority w:val="9"/>
    <w:semiHidden/>
    <w:rsid w:val="005F0304"/>
    <w:rPr>
      <w:rFonts w:asciiTheme="majorHAnsi" w:eastAsiaTheme="majorEastAsia" w:hAnsiTheme="majorHAnsi" w:cstheme="majorBidi"/>
      <w:i/>
      <w:iCs/>
      <w:color w:val="243F60" w:themeColor="accent1" w:themeShade="7F"/>
      <w:sz w:val="24"/>
      <w:szCs w:val="24"/>
      <w:lang w:bidi="en-US"/>
    </w:rPr>
  </w:style>
  <w:style w:type="character" w:customStyle="1" w:styleId="Heading7Char">
    <w:name w:val="Heading 7 Char"/>
    <w:basedOn w:val="DefaultParagraphFont"/>
    <w:link w:val="Heading7"/>
    <w:uiPriority w:val="9"/>
    <w:semiHidden/>
    <w:rsid w:val="005F0304"/>
    <w:rPr>
      <w:rFonts w:asciiTheme="majorHAnsi" w:eastAsiaTheme="majorEastAsia" w:hAnsiTheme="majorHAnsi" w:cstheme="majorBidi"/>
      <w:i/>
      <w:iCs/>
      <w:color w:val="404040" w:themeColor="text1" w:themeTint="BF"/>
      <w:sz w:val="24"/>
      <w:szCs w:val="24"/>
      <w:lang w:bidi="en-US"/>
    </w:rPr>
  </w:style>
  <w:style w:type="character" w:customStyle="1" w:styleId="Heading8Char">
    <w:name w:val="Heading 8 Char"/>
    <w:basedOn w:val="DefaultParagraphFont"/>
    <w:link w:val="Heading8"/>
    <w:uiPriority w:val="9"/>
    <w:semiHidden/>
    <w:rsid w:val="005F0304"/>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semiHidden/>
    <w:rsid w:val="005F0304"/>
    <w:rPr>
      <w:rFonts w:asciiTheme="majorHAnsi" w:eastAsiaTheme="majorEastAsia" w:hAnsiTheme="majorHAnsi" w:cstheme="majorBidi"/>
      <w:i/>
      <w:iCs/>
      <w:color w:val="404040" w:themeColor="text1" w:themeTint="BF"/>
      <w:sz w:val="20"/>
      <w:szCs w:val="20"/>
      <w:lang w:bidi="en-US"/>
    </w:rPr>
  </w:style>
  <w:style w:type="table" w:styleId="TableGrid">
    <w:name w:val="Table Grid"/>
    <w:basedOn w:val="TableNormal"/>
    <w:uiPriority w:val="39"/>
    <w:rsid w:val="005F0304"/>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897500">
      <w:bodyDiv w:val="1"/>
      <w:marLeft w:val="0"/>
      <w:marRight w:val="0"/>
      <w:marTop w:val="0"/>
      <w:marBottom w:val="0"/>
      <w:divBdr>
        <w:top w:val="none" w:sz="0" w:space="0" w:color="auto"/>
        <w:left w:val="none" w:sz="0" w:space="0" w:color="auto"/>
        <w:bottom w:val="none" w:sz="0" w:space="0" w:color="auto"/>
        <w:right w:val="none" w:sz="0" w:space="0" w:color="auto"/>
      </w:divBdr>
    </w:div>
    <w:div w:id="104826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Teufel\Documents\Custom%20Office%20Templates\SimpleFi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7D1FC-E0E1-4C9A-968B-CEB32466B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SimpleFile.dotx</Template>
  <TotalTime>1</TotalTime>
  <Pages>14</Pages>
  <Words>8351</Words>
  <Characters>47601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55841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Teufel</dc:creator>
  <cp:keywords/>
  <dc:description/>
  <cp:lastModifiedBy>Teufel, Nils (ILRI)</cp:lastModifiedBy>
  <cp:revision>3</cp:revision>
  <dcterms:created xsi:type="dcterms:W3CDTF">2017-09-07T11:16:00Z</dcterms:created>
  <dcterms:modified xsi:type="dcterms:W3CDTF">2017-09-07T11:16:00Z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http://www.zotero.org/styles/agricultural-systems</vt:lpwstr>
  </property>
  <property fmtid="{D5CDD505-2E9C-101B-9397-08002B2CF9AE}" pid="3" name="Mendeley Recent Style Name 0_1">
    <vt:lpwstr>Agricultural Systems</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http://www.zotero.org/styles/global-food-security</vt:lpwstr>
  </property>
  <property fmtid="{D5CDD505-2E9C-101B-9397-08002B2CF9AE}" pid="13" name="Mendeley Recent Style Name 5_1">
    <vt:lpwstr>Global Food Security</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(author-date)</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7th edition</vt:lpwstr>
  </property>
  <property fmtid="{D5CDD505-2E9C-101B-9397-08002B2CF9AE}" pid="22" name="Mendeley Document_1">
    <vt:lpwstr>True</vt:lpwstr>
  </property>
  <property fmtid="{D5CDD505-2E9C-101B-9397-08002B2CF9AE}" pid="23" name="Mendeley Unique User Id_1">
    <vt:lpwstr>f4501eea-39e1-3860-9b0d-5d38abce800c</vt:lpwstr>
  </property>
  <property fmtid="{D5CDD505-2E9C-101B-9397-08002B2CF9AE}" pid="24" name="Mendeley Citation Style_1">
    <vt:lpwstr>http://www.zotero.org/styles/agricultural-systems</vt:lpwstr>
  </property>
</Properties>
</file>